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FBC" w:rsidRPr="00C77FF5" w:rsidRDefault="00D80FBC" w:rsidP="0090729D">
      <w:pPr>
        <w:jc w:val="center"/>
        <w:rPr>
          <w:rFonts w:ascii="Times New Roman" w:hAnsi="Times New Roman" w:cs="Times New Roman"/>
          <w:b/>
          <w:sz w:val="24"/>
          <w:szCs w:val="24"/>
          <w:lang w:val="mn-MN"/>
        </w:rPr>
      </w:pPr>
      <w:r w:rsidRPr="00C77FF5">
        <w:rPr>
          <w:rFonts w:ascii="Times New Roman" w:hAnsi="Times New Roman" w:cs="Times New Roman"/>
          <w:b/>
          <w:noProof/>
          <w:sz w:val="24"/>
          <w:szCs w:val="24"/>
          <w:lang w:val="mn-MN" w:eastAsia="mn-MN"/>
        </w:rPr>
        <w:drawing>
          <wp:anchor distT="0" distB="0" distL="114300" distR="114300" simplePos="0" relativeHeight="251659264" behindDoc="1" locked="0" layoutInCell="1" allowOverlap="1" wp14:anchorId="442A0A84" wp14:editId="1BE2497D">
            <wp:simplePos x="0" y="0"/>
            <wp:positionH relativeFrom="column">
              <wp:posOffset>2115820</wp:posOffset>
            </wp:positionH>
            <wp:positionV relativeFrom="paragraph">
              <wp:posOffset>0</wp:posOffset>
            </wp:positionV>
            <wp:extent cx="1447800" cy="922020"/>
            <wp:effectExtent l="0" t="0" r="0" b="0"/>
            <wp:wrapTight wrapText="bothSides">
              <wp:wrapPolygon edited="0">
                <wp:start x="0" y="0"/>
                <wp:lineTo x="0" y="20975"/>
                <wp:lineTo x="21316" y="20975"/>
                <wp:lineTo x="2131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l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7800" cy="922020"/>
                    </a:xfrm>
                    <a:prstGeom prst="rect">
                      <a:avLst/>
                    </a:prstGeom>
                  </pic:spPr>
                </pic:pic>
              </a:graphicData>
            </a:graphic>
            <wp14:sizeRelH relativeFrom="margin">
              <wp14:pctWidth>0</wp14:pctWidth>
            </wp14:sizeRelH>
            <wp14:sizeRelV relativeFrom="margin">
              <wp14:pctHeight>0</wp14:pctHeight>
            </wp14:sizeRelV>
          </wp:anchor>
        </w:drawing>
      </w:r>
    </w:p>
    <w:p w:rsidR="00D80FBC" w:rsidRPr="00C77FF5" w:rsidRDefault="00D80FBC" w:rsidP="0090729D">
      <w:pPr>
        <w:jc w:val="center"/>
        <w:rPr>
          <w:rFonts w:ascii="Times New Roman" w:hAnsi="Times New Roman" w:cs="Times New Roman"/>
          <w:b/>
          <w:sz w:val="24"/>
          <w:szCs w:val="24"/>
          <w:lang w:val="mn-MN"/>
        </w:rPr>
      </w:pPr>
    </w:p>
    <w:p w:rsidR="00D80FBC" w:rsidRPr="00C77FF5" w:rsidRDefault="00D80FBC" w:rsidP="0090729D">
      <w:pPr>
        <w:jc w:val="center"/>
        <w:rPr>
          <w:rFonts w:ascii="Times New Roman" w:hAnsi="Times New Roman" w:cs="Times New Roman"/>
          <w:b/>
          <w:sz w:val="24"/>
          <w:szCs w:val="24"/>
          <w:lang w:val="mn-MN"/>
        </w:rPr>
      </w:pPr>
    </w:p>
    <w:p w:rsidR="00D80FBC" w:rsidRPr="00C77FF5" w:rsidRDefault="00D80FBC" w:rsidP="0090729D">
      <w:pPr>
        <w:jc w:val="center"/>
        <w:rPr>
          <w:rFonts w:ascii="Times New Roman" w:hAnsi="Times New Roman" w:cs="Times New Roman"/>
          <w:b/>
          <w:sz w:val="24"/>
          <w:szCs w:val="24"/>
          <w:lang w:val="mn-MN"/>
        </w:rPr>
      </w:pPr>
    </w:p>
    <w:p w:rsidR="001729EC" w:rsidRPr="00C77FF5" w:rsidRDefault="007E1266" w:rsidP="0090729D">
      <w:pPr>
        <w:jc w:val="center"/>
        <w:rPr>
          <w:rFonts w:ascii="Times New Roman" w:hAnsi="Times New Roman" w:cs="Times New Roman"/>
          <w:b/>
          <w:sz w:val="24"/>
          <w:szCs w:val="24"/>
          <w:lang w:val="mn-MN"/>
        </w:rPr>
      </w:pPr>
      <w:r w:rsidRPr="00C77FF5">
        <w:rPr>
          <w:rFonts w:ascii="Times New Roman" w:hAnsi="Times New Roman" w:cs="Times New Roman"/>
          <w:b/>
          <w:sz w:val="24"/>
          <w:szCs w:val="24"/>
          <w:lang w:val="mn-MN"/>
        </w:rPr>
        <w:t>АШГИЙН Б</w:t>
      </w:r>
      <w:r w:rsidR="00874BF3" w:rsidRPr="00C77FF5">
        <w:rPr>
          <w:rFonts w:ascii="Times New Roman" w:hAnsi="Times New Roman" w:cs="Times New Roman"/>
          <w:b/>
          <w:sz w:val="24"/>
          <w:szCs w:val="24"/>
          <w:lang w:val="mn-MN"/>
        </w:rPr>
        <w:t xml:space="preserve">УС ХУУЛИЙН ЭТГЭЭДИЙН ТУХАЙ ХУУЛИЙН ТӨСӨЛД </w:t>
      </w:r>
    </w:p>
    <w:p w:rsidR="007E1266" w:rsidRPr="00C77FF5" w:rsidRDefault="00874BF3" w:rsidP="0090729D">
      <w:pPr>
        <w:jc w:val="center"/>
        <w:rPr>
          <w:rFonts w:ascii="Times New Roman" w:hAnsi="Times New Roman" w:cs="Times New Roman"/>
          <w:b/>
          <w:sz w:val="24"/>
          <w:szCs w:val="24"/>
          <w:lang w:val="mn-MN"/>
        </w:rPr>
      </w:pPr>
      <w:r w:rsidRPr="00C77FF5">
        <w:rPr>
          <w:rFonts w:ascii="Times New Roman" w:hAnsi="Times New Roman" w:cs="Times New Roman"/>
          <w:b/>
          <w:sz w:val="24"/>
          <w:szCs w:val="24"/>
          <w:lang w:val="mn-MN"/>
        </w:rPr>
        <w:t>Ө</w:t>
      </w:r>
      <w:r w:rsidR="007E1266" w:rsidRPr="00C77FF5">
        <w:rPr>
          <w:rFonts w:ascii="Times New Roman" w:hAnsi="Times New Roman" w:cs="Times New Roman"/>
          <w:b/>
          <w:sz w:val="24"/>
          <w:szCs w:val="24"/>
          <w:lang w:val="mn-MN"/>
        </w:rPr>
        <w:t xml:space="preserve">ГӨХ </w:t>
      </w:r>
      <w:r w:rsidR="00290EE4" w:rsidRPr="00C77FF5">
        <w:rPr>
          <w:rFonts w:ascii="Times New Roman" w:hAnsi="Times New Roman" w:cs="Times New Roman"/>
          <w:b/>
          <w:sz w:val="24"/>
          <w:szCs w:val="24"/>
          <w:lang w:val="mn-MN"/>
        </w:rPr>
        <w:t xml:space="preserve">САНАЛ </w:t>
      </w:r>
      <w:r w:rsidR="007E1266" w:rsidRPr="00C77FF5">
        <w:rPr>
          <w:rFonts w:ascii="Times New Roman" w:hAnsi="Times New Roman" w:cs="Times New Roman"/>
          <w:b/>
          <w:sz w:val="24"/>
          <w:szCs w:val="24"/>
          <w:lang w:val="mn-MN"/>
        </w:rPr>
        <w:t>ШҮҮМЖ</w:t>
      </w:r>
    </w:p>
    <w:p w:rsidR="00E13AD6" w:rsidRPr="00C77FF5" w:rsidRDefault="0090729D" w:rsidP="00E13AD6">
      <w:pPr>
        <w:spacing w:before="240"/>
        <w:jc w:val="both"/>
        <w:rPr>
          <w:rFonts w:ascii="Times New Roman" w:hAnsi="Times New Roman" w:cs="Times New Roman"/>
          <w:sz w:val="24"/>
          <w:szCs w:val="24"/>
          <w:lang w:val="mn-MN"/>
        </w:rPr>
      </w:pPr>
      <w:r w:rsidRPr="00C77FF5">
        <w:rPr>
          <w:rFonts w:ascii="Times New Roman" w:hAnsi="Times New Roman" w:cs="Times New Roman"/>
          <w:sz w:val="24"/>
          <w:szCs w:val="24"/>
          <w:lang w:val="mn-MN"/>
        </w:rPr>
        <w:t xml:space="preserve">Ашгийн төлөө бус хуулийн этгээдийн тухай хуулийн төслийг бүхэлд нь авч үзвэл Хуулийн төслийн үзэл баримтлалд тодорхойлсон үндэслэл, хэрэгцээ шаардлагыг бүрэн хангахгүй буюу төрийн бус байгууллагуудын үйл ажиллагаанд тулгарч байгаа бэрхшээлийг арилгах, иргэний нийгмийн хөгжил, нийтэд тустай үйл ажиллагааг дэмжих эрх зүйн таатай орчныг бүрдүүлэх зорилгодоо хүрч чадахааргүй байна. Харин ч эсрэгээрээ олон тохиолдолд ойлгомжгүй байдал, иргэдийн эвлэлдэн нэгдэх эрх, иргэний нийгмийн хөгжлийг хязгаарлах эрсдэл, үр дагавар үүсгэж болзошгүй байна. Иймд хуулийн төслийг үзэл баримтлалд нийцүүлэн дахин боловсронгуй болгож, төв, орон нутагт нийгмийн бүх салбар чиглэлээр үйл ажиллагаа явуулж буй төрийн бус байгууллагуудын өргөн оролцоотойгоор хэлэлцүүлэх замаар сайжруулах нь зүйтэй байна. </w:t>
      </w:r>
    </w:p>
    <w:p w:rsidR="0090729D" w:rsidRPr="00C77FF5" w:rsidRDefault="0090729D" w:rsidP="00E13AD6">
      <w:pPr>
        <w:spacing w:before="240"/>
        <w:jc w:val="both"/>
        <w:rPr>
          <w:rFonts w:ascii="Times New Roman" w:hAnsi="Times New Roman" w:cs="Times New Roman"/>
          <w:sz w:val="24"/>
          <w:szCs w:val="24"/>
          <w:lang w:val="mn-MN"/>
        </w:rPr>
      </w:pPr>
      <w:r w:rsidRPr="00C77FF5">
        <w:rPr>
          <w:rFonts w:ascii="Times New Roman" w:hAnsi="Times New Roman" w:cs="Times New Roman"/>
          <w:sz w:val="24"/>
          <w:szCs w:val="24"/>
          <w:lang w:val="mn-MN"/>
        </w:rPr>
        <w:t xml:space="preserve">Мөн хуулийн төслийг сайжруулан боловсруулахад зайлшгүй анхаарах шаардлагатай дараах саналыг ийнхүү саналыг хүргүүлж байна. Үүнд: </w:t>
      </w:r>
    </w:p>
    <w:p w:rsidR="003D1BB1" w:rsidRPr="00C77FF5" w:rsidRDefault="00954BBA" w:rsidP="00E13AD6">
      <w:pPr>
        <w:pStyle w:val="ListParagraph"/>
        <w:numPr>
          <w:ilvl w:val="0"/>
          <w:numId w:val="1"/>
        </w:numPr>
        <w:spacing w:before="240"/>
        <w:jc w:val="both"/>
        <w:rPr>
          <w:rFonts w:ascii="Times New Roman" w:hAnsi="Times New Roman" w:cs="Times New Roman"/>
          <w:sz w:val="24"/>
          <w:szCs w:val="24"/>
          <w:lang w:val="mn-MN"/>
        </w:rPr>
      </w:pPr>
      <w:r w:rsidRPr="00C77FF5">
        <w:rPr>
          <w:rFonts w:ascii="Times New Roman" w:hAnsi="Times New Roman" w:cs="Times New Roman"/>
          <w:sz w:val="24"/>
          <w:szCs w:val="24"/>
          <w:lang w:val="mn-MN"/>
        </w:rPr>
        <w:t>ТББ-ын тухай хуулийг шинэч</w:t>
      </w:r>
      <w:r w:rsidR="0090729D" w:rsidRPr="00C77FF5">
        <w:rPr>
          <w:rFonts w:ascii="Times New Roman" w:hAnsi="Times New Roman" w:cs="Times New Roman"/>
          <w:sz w:val="24"/>
          <w:szCs w:val="24"/>
          <w:lang w:val="mn-MN"/>
        </w:rPr>
        <w:t xml:space="preserve">лэн найруулах хэрэгцээ шаардлагын </w:t>
      </w:r>
      <w:r w:rsidRPr="00C77FF5">
        <w:rPr>
          <w:rFonts w:ascii="Times New Roman" w:hAnsi="Times New Roman" w:cs="Times New Roman"/>
          <w:sz w:val="24"/>
          <w:szCs w:val="24"/>
          <w:lang w:val="mn-MN"/>
        </w:rPr>
        <w:t>судалгаанд ТББ-ын тухай хуулийн холбоо, сан хэмээх ойлголт</w:t>
      </w:r>
      <w:r w:rsidR="0090729D" w:rsidRPr="00C77FF5">
        <w:rPr>
          <w:rFonts w:ascii="Times New Roman" w:hAnsi="Times New Roman" w:cs="Times New Roman"/>
          <w:sz w:val="24"/>
          <w:szCs w:val="24"/>
          <w:lang w:val="mn-MN"/>
        </w:rPr>
        <w:t xml:space="preserve"> нь</w:t>
      </w:r>
      <w:r w:rsidRPr="00C77FF5">
        <w:rPr>
          <w:rFonts w:ascii="Times New Roman" w:hAnsi="Times New Roman" w:cs="Times New Roman"/>
          <w:sz w:val="24"/>
          <w:szCs w:val="24"/>
          <w:lang w:val="mn-MN"/>
        </w:rPr>
        <w:t xml:space="preserve"> Иргэний хуультай зөрчилдөж байгаа тул энэ ялгаа заагийг өөрчлө</w:t>
      </w:r>
      <w:r w:rsidR="0090729D" w:rsidRPr="00C77FF5">
        <w:rPr>
          <w:rFonts w:ascii="Times New Roman" w:hAnsi="Times New Roman" w:cs="Times New Roman"/>
          <w:sz w:val="24"/>
          <w:szCs w:val="24"/>
          <w:lang w:val="mn-MN"/>
        </w:rPr>
        <w:t>н тодорхойло</w:t>
      </w:r>
      <w:r w:rsidRPr="00C77FF5">
        <w:rPr>
          <w:rFonts w:ascii="Times New Roman" w:hAnsi="Times New Roman" w:cs="Times New Roman"/>
          <w:sz w:val="24"/>
          <w:szCs w:val="24"/>
          <w:lang w:val="mn-MN"/>
        </w:rPr>
        <w:t>х хэрэгцээ</w:t>
      </w:r>
      <w:r w:rsidR="0090729D" w:rsidRPr="00C77FF5">
        <w:rPr>
          <w:rFonts w:ascii="Times New Roman" w:hAnsi="Times New Roman" w:cs="Times New Roman"/>
          <w:sz w:val="24"/>
          <w:szCs w:val="24"/>
          <w:lang w:val="mn-MN"/>
        </w:rPr>
        <w:t xml:space="preserve"> байгааг онцлон дурдсан </w:t>
      </w:r>
      <w:r w:rsidRPr="00C77FF5">
        <w:rPr>
          <w:rFonts w:ascii="Times New Roman" w:hAnsi="Times New Roman" w:cs="Times New Roman"/>
          <w:sz w:val="24"/>
          <w:szCs w:val="24"/>
          <w:lang w:val="mn-MN"/>
        </w:rPr>
        <w:t>байна.</w:t>
      </w:r>
      <w:r w:rsidR="0090729D" w:rsidRPr="00C77FF5">
        <w:rPr>
          <w:rFonts w:ascii="Times New Roman" w:hAnsi="Times New Roman" w:cs="Times New Roman"/>
          <w:sz w:val="24"/>
          <w:szCs w:val="24"/>
          <w:lang w:val="mn-MN"/>
        </w:rPr>
        <w:t xml:space="preserve"> Хуулийн зорилтыг төслийн 1.1-д “...</w:t>
      </w:r>
      <w:r w:rsidRPr="00C77FF5">
        <w:rPr>
          <w:rFonts w:ascii="Times New Roman" w:hAnsi="Times New Roman" w:cs="Times New Roman"/>
          <w:sz w:val="24"/>
          <w:szCs w:val="24"/>
          <w:lang w:val="mn-MN"/>
        </w:rPr>
        <w:t>ашгийн бус хуулийн этг</w:t>
      </w:r>
      <w:r w:rsidR="0090729D" w:rsidRPr="00C77FF5">
        <w:rPr>
          <w:rFonts w:ascii="Times New Roman" w:hAnsi="Times New Roman" w:cs="Times New Roman"/>
          <w:sz w:val="24"/>
          <w:szCs w:val="24"/>
          <w:lang w:val="mn-MN"/>
        </w:rPr>
        <w:t xml:space="preserve">ээдийн эрх зүйн байдлыг тогтоох...” хэмээн тодорхойлсон боловч </w:t>
      </w:r>
      <w:r w:rsidRPr="00C77FF5">
        <w:rPr>
          <w:rFonts w:ascii="Times New Roman" w:hAnsi="Times New Roman" w:cs="Times New Roman"/>
          <w:sz w:val="24"/>
          <w:szCs w:val="24"/>
          <w:lang w:val="mn-MN"/>
        </w:rPr>
        <w:t xml:space="preserve">энэ агуулгад багтах </w:t>
      </w:r>
      <w:r w:rsidR="0090729D" w:rsidRPr="00C77FF5">
        <w:rPr>
          <w:rFonts w:ascii="Times New Roman" w:hAnsi="Times New Roman" w:cs="Times New Roman"/>
          <w:sz w:val="24"/>
          <w:szCs w:val="24"/>
          <w:lang w:val="mn-MN"/>
        </w:rPr>
        <w:t xml:space="preserve">хуулийн этгээдийн бүх төрөл, хэлбэрийг </w:t>
      </w:r>
      <w:r w:rsidRPr="00C77FF5">
        <w:rPr>
          <w:rFonts w:ascii="Times New Roman" w:hAnsi="Times New Roman" w:cs="Times New Roman"/>
          <w:sz w:val="24"/>
          <w:szCs w:val="24"/>
          <w:lang w:val="mn-MN"/>
        </w:rPr>
        <w:t xml:space="preserve">авч үзээгүй </w:t>
      </w:r>
      <w:r w:rsidR="0090729D" w:rsidRPr="00C77FF5">
        <w:rPr>
          <w:rFonts w:ascii="Times New Roman" w:hAnsi="Times New Roman" w:cs="Times New Roman"/>
          <w:sz w:val="24"/>
          <w:szCs w:val="24"/>
          <w:lang w:val="mn-MN"/>
        </w:rPr>
        <w:t xml:space="preserve">нь дээрх </w:t>
      </w:r>
      <w:r w:rsidRPr="00C77FF5">
        <w:rPr>
          <w:rFonts w:ascii="Times New Roman" w:hAnsi="Times New Roman" w:cs="Times New Roman"/>
          <w:sz w:val="24"/>
          <w:szCs w:val="24"/>
          <w:lang w:val="mn-MN"/>
        </w:rPr>
        <w:t>зөрч</w:t>
      </w:r>
      <w:r w:rsidR="0090729D" w:rsidRPr="00C77FF5">
        <w:rPr>
          <w:rFonts w:ascii="Times New Roman" w:hAnsi="Times New Roman" w:cs="Times New Roman"/>
          <w:sz w:val="24"/>
          <w:szCs w:val="24"/>
          <w:lang w:val="mn-MN"/>
        </w:rPr>
        <w:t xml:space="preserve">лийг арилгаж чадахааргүй төдийгүй дахин өөр шинэ зөрчил шинээр үүсгэх эрсдэл дагуулж байна. </w:t>
      </w:r>
      <w:r w:rsidRPr="00C77FF5">
        <w:rPr>
          <w:rFonts w:ascii="Times New Roman" w:hAnsi="Times New Roman" w:cs="Times New Roman"/>
          <w:sz w:val="24"/>
          <w:szCs w:val="24"/>
          <w:lang w:val="mn-MN"/>
        </w:rPr>
        <w:t xml:space="preserve"> </w:t>
      </w:r>
      <w:r w:rsidR="003D1BB1" w:rsidRPr="00C77FF5">
        <w:rPr>
          <w:rFonts w:ascii="Times New Roman" w:hAnsi="Times New Roman" w:cs="Times New Roman"/>
          <w:sz w:val="24"/>
          <w:szCs w:val="24"/>
          <w:lang w:val="mn-MN"/>
        </w:rPr>
        <w:t>Тухайлбал, зөвхөн “холбоо”, “сан”, “нийтийн эрх зүйн хуулийн этгээд” гэсэн төрөлтэй байхаар тусгасан боловч “холбоо” нь гагцхүү гишүүнчлэл бүхий байхаар тусгасан нь “сан” гэсэн төрөлд багтахгүй, гишүүнчлэлгүй төрийн бус байгууллагуудын эрх зүйн байдл</w:t>
      </w:r>
      <w:r w:rsidR="001729EC" w:rsidRPr="00C77FF5">
        <w:rPr>
          <w:rFonts w:ascii="Times New Roman" w:hAnsi="Times New Roman" w:cs="Times New Roman"/>
          <w:sz w:val="24"/>
          <w:szCs w:val="24"/>
          <w:lang w:val="mn-MN"/>
        </w:rPr>
        <w:t>ыг</w:t>
      </w:r>
      <w:r w:rsidR="003D1BB1" w:rsidRPr="00C77FF5">
        <w:rPr>
          <w:rFonts w:ascii="Times New Roman" w:hAnsi="Times New Roman" w:cs="Times New Roman"/>
          <w:sz w:val="24"/>
          <w:szCs w:val="24"/>
          <w:lang w:val="mn-MN"/>
        </w:rPr>
        <w:t xml:space="preserve"> тодорхойгүй хэвээр үлд</w:t>
      </w:r>
      <w:r w:rsidR="0090729D" w:rsidRPr="00C77FF5">
        <w:rPr>
          <w:rFonts w:ascii="Times New Roman" w:hAnsi="Times New Roman" w:cs="Times New Roman"/>
          <w:sz w:val="24"/>
          <w:szCs w:val="24"/>
          <w:lang w:val="mn-MN"/>
        </w:rPr>
        <w:t>ээжээ. Тэрчлэн х</w:t>
      </w:r>
      <w:r w:rsidR="003D1BB1" w:rsidRPr="00C77FF5">
        <w:rPr>
          <w:rFonts w:ascii="Times New Roman" w:hAnsi="Times New Roman" w:cs="Times New Roman"/>
          <w:sz w:val="24"/>
          <w:szCs w:val="24"/>
          <w:lang w:val="mn-MN"/>
        </w:rPr>
        <w:t>уулийн төс</w:t>
      </w:r>
      <w:r w:rsidR="0090729D" w:rsidRPr="00C77FF5">
        <w:rPr>
          <w:rFonts w:ascii="Times New Roman" w:hAnsi="Times New Roman" w:cs="Times New Roman"/>
          <w:sz w:val="24"/>
          <w:szCs w:val="24"/>
          <w:lang w:val="mn-MN"/>
        </w:rPr>
        <w:t>лийн</w:t>
      </w:r>
      <w:r w:rsidR="003D1BB1" w:rsidRPr="00C77FF5">
        <w:rPr>
          <w:rFonts w:ascii="Times New Roman" w:hAnsi="Times New Roman" w:cs="Times New Roman"/>
          <w:sz w:val="24"/>
          <w:szCs w:val="24"/>
          <w:lang w:val="mn-MN"/>
        </w:rPr>
        <w:t xml:space="preserve"> 4.1.7-д заасан “нийтийн эрх зүйн хуулийн этгээд”-ийн тодорхойлолт нь </w:t>
      </w:r>
      <w:r w:rsidR="0090729D" w:rsidRPr="00C77FF5">
        <w:rPr>
          <w:rFonts w:ascii="Times New Roman" w:hAnsi="Times New Roman" w:cs="Times New Roman"/>
          <w:sz w:val="24"/>
          <w:szCs w:val="24"/>
          <w:lang w:val="mn-MN"/>
        </w:rPr>
        <w:t xml:space="preserve">Захиргааны ерөнхий хуулийн </w:t>
      </w:r>
      <w:r w:rsidR="003D1BB1" w:rsidRPr="00C77FF5">
        <w:rPr>
          <w:rFonts w:ascii="Times New Roman" w:hAnsi="Times New Roman" w:cs="Times New Roman"/>
          <w:sz w:val="24"/>
          <w:szCs w:val="24"/>
          <w:lang w:val="mn-MN"/>
        </w:rPr>
        <w:t>5.1.4-т заасан “нийтийн эрх зүйн этгээд”</w:t>
      </w:r>
      <w:r w:rsidR="0090729D" w:rsidRPr="00C77FF5">
        <w:rPr>
          <w:rFonts w:ascii="Times New Roman" w:hAnsi="Times New Roman" w:cs="Times New Roman"/>
          <w:sz w:val="24"/>
          <w:szCs w:val="24"/>
          <w:lang w:val="mn-MN"/>
        </w:rPr>
        <w:t xml:space="preserve"> гэсэн нэр томьёотой давхардсанаас гадна агуулгын хувьд зөрчилтэй  байгаа нь хууль  хэрэглээн</w:t>
      </w:r>
      <w:r w:rsidR="001729EC" w:rsidRPr="00C77FF5">
        <w:rPr>
          <w:rFonts w:ascii="Times New Roman" w:hAnsi="Times New Roman" w:cs="Times New Roman"/>
          <w:sz w:val="24"/>
          <w:szCs w:val="24"/>
          <w:lang w:val="mn-MN"/>
        </w:rPr>
        <w:t>д о</w:t>
      </w:r>
      <w:r w:rsidR="0090729D" w:rsidRPr="00C77FF5">
        <w:rPr>
          <w:rFonts w:ascii="Times New Roman" w:hAnsi="Times New Roman" w:cs="Times New Roman"/>
          <w:sz w:val="24"/>
          <w:szCs w:val="24"/>
          <w:lang w:val="mn-MN"/>
        </w:rPr>
        <w:t>йлгомжгүй байдал, зөрч</w:t>
      </w:r>
      <w:r w:rsidR="001729EC" w:rsidRPr="00C77FF5">
        <w:rPr>
          <w:rFonts w:ascii="Times New Roman" w:hAnsi="Times New Roman" w:cs="Times New Roman"/>
          <w:sz w:val="24"/>
          <w:szCs w:val="24"/>
          <w:lang w:val="mn-MN"/>
        </w:rPr>
        <w:t xml:space="preserve">ил </w:t>
      </w:r>
      <w:r w:rsidR="0090729D" w:rsidRPr="00C77FF5">
        <w:rPr>
          <w:rFonts w:ascii="Times New Roman" w:hAnsi="Times New Roman" w:cs="Times New Roman"/>
          <w:sz w:val="24"/>
          <w:szCs w:val="24"/>
          <w:lang w:val="mn-MN"/>
        </w:rPr>
        <w:t xml:space="preserve">үүсгэхээр байна. </w:t>
      </w:r>
    </w:p>
    <w:p w:rsidR="00E13AD6" w:rsidRPr="00C77FF5" w:rsidRDefault="00E13AD6" w:rsidP="00E13AD6">
      <w:pPr>
        <w:pStyle w:val="ListParagraph"/>
        <w:spacing w:before="240"/>
        <w:jc w:val="both"/>
        <w:rPr>
          <w:rFonts w:ascii="Times New Roman" w:hAnsi="Times New Roman" w:cs="Times New Roman"/>
          <w:sz w:val="24"/>
          <w:szCs w:val="24"/>
          <w:lang w:val="mn-MN"/>
        </w:rPr>
      </w:pPr>
    </w:p>
    <w:p w:rsidR="003D1BB1" w:rsidRPr="00C77FF5" w:rsidRDefault="003D1BB1" w:rsidP="00E13AD6">
      <w:pPr>
        <w:pStyle w:val="ListParagraph"/>
        <w:numPr>
          <w:ilvl w:val="0"/>
          <w:numId w:val="1"/>
        </w:numPr>
        <w:spacing w:before="240"/>
        <w:rPr>
          <w:rFonts w:ascii="Times New Roman" w:hAnsi="Times New Roman" w:cs="Times New Roman"/>
          <w:sz w:val="24"/>
          <w:szCs w:val="24"/>
          <w:lang w:val="mn-MN"/>
        </w:rPr>
      </w:pPr>
      <w:r w:rsidRPr="00C77FF5">
        <w:rPr>
          <w:rFonts w:ascii="Times New Roman" w:hAnsi="Times New Roman" w:cs="Times New Roman"/>
          <w:sz w:val="24"/>
          <w:szCs w:val="24"/>
          <w:lang w:val="mn-MN"/>
        </w:rPr>
        <w:t>Боловсрол, соёл, шинжлэх ухаан,  эрүүл мэндийн үйлчилгээ үзүүлдэг төрийн болон хувийн хэвшлийн  хуулийн этгээдээс  нийтэд тустай,  ашгийн  бус үйл ажиллагаа явуулах тохиолдол</w:t>
      </w:r>
      <w:r w:rsidR="001E0F96" w:rsidRPr="00C77FF5">
        <w:rPr>
          <w:rFonts w:ascii="Times New Roman" w:hAnsi="Times New Roman" w:cs="Times New Roman"/>
          <w:sz w:val="24"/>
          <w:szCs w:val="24"/>
          <w:lang w:val="mn-MN"/>
        </w:rPr>
        <w:t xml:space="preserve"> элбэг</w:t>
      </w:r>
      <w:r w:rsidRPr="00C77FF5">
        <w:rPr>
          <w:rFonts w:ascii="Times New Roman" w:hAnsi="Times New Roman" w:cs="Times New Roman"/>
          <w:sz w:val="24"/>
          <w:szCs w:val="24"/>
          <w:lang w:val="mn-MN"/>
        </w:rPr>
        <w:t xml:space="preserve">  байдаг.</w:t>
      </w:r>
      <w:r w:rsidR="001E0F96" w:rsidRPr="00C77FF5">
        <w:rPr>
          <w:rFonts w:ascii="Times New Roman" w:hAnsi="Times New Roman" w:cs="Times New Roman"/>
          <w:sz w:val="24"/>
          <w:szCs w:val="24"/>
          <w:lang w:val="mn-MN"/>
        </w:rPr>
        <w:t xml:space="preserve">  Харин энэхүү хуулийн төсөл нь </w:t>
      </w:r>
      <w:r w:rsidRPr="00C77FF5">
        <w:rPr>
          <w:rFonts w:ascii="Times New Roman" w:hAnsi="Times New Roman" w:cs="Times New Roman"/>
          <w:sz w:val="24"/>
          <w:szCs w:val="24"/>
          <w:lang w:val="mn-MN"/>
        </w:rPr>
        <w:t xml:space="preserve"> </w:t>
      </w:r>
      <w:r w:rsidR="00542817" w:rsidRPr="00C77FF5">
        <w:rPr>
          <w:rFonts w:ascii="Times New Roman" w:hAnsi="Times New Roman" w:cs="Times New Roman"/>
          <w:sz w:val="24"/>
          <w:szCs w:val="24"/>
          <w:lang w:val="mn-MN"/>
        </w:rPr>
        <w:t>амьдралд элбэг тохиолдох, мөн эрх зүйн зохицуулалт</w:t>
      </w:r>
      <w:r w:rsidR="0090729D" w:rsidRPr="00C77FF5">
        <w:rPr>
          <w:rFonts w:ascii="Times New Roman" w:hAnsi="Times New Roman" w:cs="Times New Roman"/>
          <w:sz w:val="24"/>
          <w:szCs w:val="24"/>
          <w:lang w:val="mn-MN"/>
        </w:rPr>
        <w:t>ыг нь зайлшгүй боловср</w:t>
      </w:r>
      <w:r w:rsidR="00B21EAC" w:rsidRPr="00C77FF5">
        <w:rPr>
          <w:rFonts w:ascii="Times New Roman" w:hAnsi="Times New Roman" w:cs="Times New Roman"/>
          <w:sz w:val="24"/>
          <w:szCs w:val="24"/>
          <w:lang w:val="mn-MN"/>
        </w:rPr>
        <w:t xml:space="preserve">онгуй болгох шаардлагатай уг </w:t>
      </w:r>
      <w:r w:rsidR="00542817" w:rsidRPr="00C77FF5">
        <w:rPr>
          <w:rFonts w:ascii="Times New Roman" w:hAnsi="Times New Roman" w:cs="Times New Roman"/>
          <w:sz w:val="24"/>
          <w:szCs w:val="24"/>
          <w:lang w:val="mn-MN"/>
        </w:rPr>
        <w:t>нөхцөл байдлыг зохицуул</w:t>
      </w:r>
      <w:r w:rsidR="0090729D" w:rsidRPr="00C77FF5">
        <w:rPr>
          <w:rFonts w:ascii="Times New Roman" w:hAnsi="Times New Roman" w:cs="Times New Roman"/>
          <w:sz w:val="24"/>
          <w:szCs w:val="24"/>
          <w:lang w:val="mn-MN"/>
        </w:rPr>
        <w:t xml:space="preserve">ж чадахааргүй </w:t>
      </w:r>
      <w:r w:rsidR="00E13AD6" w:rsidRPr="00C77FF5">
        <w:rPr>
          <w:rFonts w:ascii="Times New Roman" w:hAnsi="Times New Roman" w:cs="Times New Roman"/>
          <w:sz w:val="24"/>
          <w:szCs w:val="24"/>
          <w:lang w:val="mn-MN"/>
        </w:rPr>
        <w:t>байна.</w:t>
      </w:r>
    </w:p>
    <w:p w:rsidR="00E13AD6" w:rsidRPr="00C77FF5" w:rsidRDefault="00E13AD6" w:rsidP="00E13AD6">
      <w:pPr>
        <w:pStyle w:val="ListParagraph"/>
        <w:rPr>
          <w:rFonts w:ascii="Times New Roman" w:hAnsi="Times New Roman" w:cs="Times New Roman"/>
          <w:sz w:val="24"/>
          <w:szCs w:val="24"/>
          <w:lang w:val="mn-MN"/>
        </w:rPr>
      </w:pPr>
    </w:p>
    <w:p w:rsidR="00E13AD6" w:rsidRPr="00C77FF5" w:rsidRDefault="00E13AD6" w:rsidP="00E13AD6">
      <w:pPr>
        <w:pStyle w:val="ListParagraph"/>
        <w:spacing w:before="240"/>
        <w:rPr>
          <w:rFonts w:ascii="Times New Roman" w:hAnsi="Times New Roman" w:cs="Times New Roman"/>
          <w:sz w:val="24"/>
          <w:szCs w:val="24"/>
          <w:lang w:val="mn-MN"/>
        </w:rPr>
      </w:pPr>
    </w:p>
    <w:p w:rsidR="00BF2ACF" w:rsidRPr="00C77FF5" w:rsidRDefault="0090729D" w:rsidP="00E13AD6">
      <w:pPr>
        <w:pStyle w:val="ListParagraph"/>
        <w:numPr>
          <w:ilvl w:val="0"/>
          <w:numId w:val="1"/>
        </w:numPr>
        <w:spacing w:before="240"/>
        <w:rPr>
          <w:rFonts w:ascii="Times New Roman" w:hAnsi="Times New Roman" w:cs="Times New Roman"/>
          <w:sz w:val="24"/>
          <w:szCs w:val="24"/>
          <w:lang w:val="mn-MN"/>
        </w:rPr>
      </w:pPr>
      <w:r w:rsidRPr="00C77FF5">
        <w:rPr>
          <w:rFonts w:ascii="Times New Roman" w:hAnsi="Times New Roman" w:cs="Times New Roman"/>
          <w:sz w:val="24"/>
          <w:szCs w:val="24"/>
          <w:lang w:val="mn-MN"/>
        </w:rPr>
        <w:lastRenderedPageBreak/>
        <w:t xml:space="preserve">Хуулийн төслийн үзэл баримтлалд </w:t>
      </w:r>
      <w:r w:rsidR="00954BBA" w:rsidRPr="00C77FF5">
        <w:rPr>
          <w:rFonts w:ascii="Times New Roman" w:hAnsi="Times New Roman" w:cs="Times New Roman"/>
          <w:sz w:val="24"/>
          <w:szCs w:val="24"/>
          <w:lang w:val="mn-MN"/>
        </w:rPr>
        <w:t xml:space="preserve">ТББ-ыг дэмжсэн санхүүжилтийн орчин бүрдээгүй </w:t>
      </w:r>
      <w:r w:rsidRPr="00C77FF5">
        <w:rPr>
          <w:rFonts w:ascii="Times New Roman" w:hAnsi="Times New Roman" w:cs="Times New Roman"/>
          <w:sz w:val="24"/>
          <w:szCs w:val="24"/>
          <w:lang w:val="mn-MN"/>
        </w:rPr>
        <w:t>тухай тусгасан боловч үүнийг шийдвэрлэх т</w:t>
      </w:r>
      <w:r w:rsidR="00954BBA" w:rsidRPr="00C77FF5">
        <w:rPr>
          <w:rFonts w:ascii="Times New Roman" w:hAnsi="Times New Roman" w:cs="Times New Roman"/>
          <w:sz w:val="24"/>
          <w:szCs w:val="24"/>
          <w:lang w:val="mn-MN"/>
        </w:rPr>
        <w:t>одорхой шийдэл</w:t>
      </w:r>
      <w:r w:rsidRPr="00C77FF5">
        <w:rPr>
          <w:rFonts w:ascii="Times New Roman" w:hAnsi="Times New Roman" w:cs="Times New Roman"/>
          <w:sz w:val="24"/>
          <w:szCs w:val="24"/>
          <w:lang w:val="mn-MN"/>
        </w:rPr>
        <w:t xml:space="preserve"> хуулийн төсөлд</w:t>
      </w:r>
      <w:r w:rsidR="00954BBA" w:rsidRPr="00C77FF5">
        <w:rPr>
          <w:rFonts w:ascii="Times New Roman" w:hAnsi="Times New Roman" w:cs="Times New Roman"/>
          <w:sz w:val="24"/>
          <w:szCs w:val="24"/>
          <w:lang w:val="mn-MN"/>
        </w:rPr>
        <w:t xml:space="preserve"> </w:t>
      </w:r>
      <w:r w:rsidR="001729EC" w:rsidRPr="00C77FF5">
        <w:rPr>
          <w:rFonts w:ascii="Times New Roman" w:hAnsi="Times New Roman" w:cs="Times New Roman"/>
          <w:sz w:val="24"/>
          <w:szCs w:val="24"/>
          <w:lang w:val="mn-MN"/>
        </w:rPr>
        <w:t xml:space="preserve">тун бага байна. Тэр ч бүү хэл </w:t>
      </w:r>
      <w:r w:rsidR="00954BBA" w:rsidRPr="00C77FF5">
        <w:rPr>
          <w:rFonts w:ascii="Times New Roman" w:hAnsi="Times New Roman" w:cs="Times New Roman"/>
          <w:sz w:val="24"/>
          <w:szCs w:val="24"/>
          <w:lang w:val="mn-MN"/>
        </w:rPr>
        <w:t xml:space="preserve">Аж ахуйн нэгжийн орлогын албан татварын тухай хуулиар </w:t>
      </w:r>
      <w:r w:rsidR="00542817" w:rsidRPr="00C77FF5">
        <w:rPr>
          <w:rFonts w:ascii="Times New Roman" w:hAnsi="Times New Roman" w:cs="Times New Roman"/>
          <w:sz w:val="24"/>
          <w:szCs w:val="24"/>
          <w:lang w:val="mn-MN"/>
        </w:rPr>
        <w:t xml:space="preserve">АТБХЭ-ийн </w:t>
      </w:r>
      <w:r w:rsidR="00954BBA" w:rsidRPr="00C77FF5">
        <w:rPr>
          <w:rFonts w:ascii="Times New Roman" w:hAnsi="Times New Roman" w:cs="Times New Roman"/>
          <w:sz w:val="24"/>
          <w:szCs w:val="24"/>
          <w:lang w:val="mn-MN"/>
        </w:rPr>
        <w:t xml:space="preserve">аж ахуйн орлогод 3% татвар </w:t>
      </w:r>
      <w:r w:rsidR="00542817" w:rsidRPr="00C77FF5">
        <w:rPr>
          <w:rFonts w:ascii="Times New Roman" w:hAnsi="Times New Roman" w:cs="Times New Roman"/>
          <w:sz w:val="24"/>
          <w:szCs w:val="24"/>
          <w:lang w:val="mn-MN"/>
        </w:rPr>
        <w:t xml:space="preserve">ногдуулахаар </w:t>
      </w:r>
      <w:r w:rsidR="00954BBA" w:rsidRPr="00C77FF5">
        <w:rPr>
          <w:rFonts w:ascii="Times New Roman" w:hAnsi="Times New Roman" w:cs="Times New Roman"/>
          <w:sz w:val="24"/>
          <w:szCs w:val="24"/>
          <w:lang w:val="mn-MN"/>
        </w:rPr>
        <w:t>тус</w:t>
      </w:r>
      <w:r w:rsidRPr="00C77FF5">
        <w:rPr>
          <w:rFonts w:ascii="Times New Roman" w:hAnsi="Times New Roman" w:cs="Times New Roman"/>
          <w:sz w:val="24"/>
          <w:szCs w:val="24"/>
          <w:lang w:val="mn-MN"/>
        </w:rPr>
        <w:t xml:space="preserve">гажээ. </w:t>
      </w:r>
      <w:r w:rsidR="00B21EAC" w:rsidRPr="00C77FF5">
        <w:rPr>
          <w:rFonts w:ascii="Times New Roman" w:hAnsi="Times New Roman" w:cs="Times New Roman"/>
          <w:sz w:val="24"/>
          <w:szCs w:val="24"/>
          <w:lang w:val="mn-MN"/>
        </w:rPr>
        <w:t>Тэрчлэн  Иргэний нийгмийг дэмжих сангийн эх үүсвэрт “</w:t>
      </w:r>
      <w:r w:rsidR="00B21EAC" w:rsidRPr="00C77FF5">
        <w:rPr>
          <w:rFonts w:ascii="Times New Roman" w:hAnsi="Times New Roman" w:cs="Times New Roman"/>
          <w:i/>
          <w:sz w:val="24"/>
          <w:szCs w:val="24"/>
          <w:lang w:val="mn-MN"/>
        </w:rPr>
        <w:t>гадаад улс, олон улсын байгууллага</w:t>
      </w:r>
      <w:r w:rsidR="00B21EAC" w:rsidRPr="00C77FF5">
        <w:rPr>
          <w:rFonts w:ascii="Times New Roman" w:hAnsi="Times New Roman" w:cs="Times New Roman"/>
          <w:sz w:val="24"/>
          <w:szCs w:val="24"/>
          <w:lang w:val="mn-MN"/>
        </w:rPr>
        <w:t xml:space="preserve">” гэж оруулсан   боловч </w:t>
      </w:r>
      <w:r w:rsidR="00954BBA" w:rsidRPr="00C77FF5">
        <w:rPr>
          <w:rFonts w:ascii="Times New Roman" w:hAnsi="Times New Roman" w:cs="Times New Roman"/>
          <w:sz w:val="24"/>
          <w:szCs w:val="24"/>
          <w:lang w:val="mn-MN"/>
        </w:rPr>
        <w:t>АТБХЭ-ийн санхүүгийн эх үүсвэрт “</w:t>
      </w:r>
      <w:r w:rsidR="00954BBA" w:rsidRPr="00C77FF5">
        <w:rPr>
          <w:rFonts w:ascii="Times New Roman" w:hAnsi="Times New Roman" w:cs="Times New Roman"/>
          <w:i/>
          <w:sz w:val="24"/>
          <w:szCs w:val="24"/>
          <w:lang w:val="mn-MN"/>
        </w:rPr>
        <w:t>гадаад</w:t>
      </w:r>
      <w:r w:rsidR="00BF2ACF" w:rsidRPr="00C77FF5">
        <w:rPr>
          <w:rFonts w:ascii="Times New Roman" w:hAnsi="Times New Roman" w:cs="Times New Roman"/>
          <w:i/>
          <w:sz w:val="24"/>
          <w:szCs w:val="24"/>
          <w:lang w:val="mn-MN"/>
        </w:rPr>
        <w:t>ын болон олон</w:t>
      </w:r>
      <w:r w:rsidR="00954BBA" w:rsidRPr="00C77FF5">
        <w:rPr>
          <w:rFonts w:ascii="Times New Roman" w:hAnsi="Times New Roman" w:cs="Times New Roman"/>
          <w:i/>
          <w:sz w:val="24"/>
          <w:szCs w:val="24"/>
          <w:lang w:val="mn-MN"/>
        </w:rPr>
        <w:t xml:space="preserve"> улсын байгууллага</w:t>
      </w:r>
      <w:r w:rsidR="00954BBA" w:rsidRPr="00C77FF5">
        <w:rPr>
          <w:rFonts w:ascii="Times New Roman" w:hAnsi="Times New Roman" w:cs="Times New Roman"/>
          <w:sz w:val="24"/>
          <w:szCs w:val="24"/>
          <w:lang w:val="mn-MN"/>
        </w:rPr>
        <w:t>”</w:t>
      </w:r>
      <w:r w:rsidR="00B21EAC" w:rsidRPr="00C77FF5">
        <w:rPr>
          <w:rFonts w:ascii="Times New Roman" w:hAnsi="Times New Roman" w:cs="Times New Roman"/>
          <w:sz w:val="24"/>
          <w:szCs w:val="24"/>
          <w:lang w:val="mn-MN"/>
        </w:rPr>
        <w:t xml:space="preserve"> гэж тусгаагүй нь </w:t>
      </w:r>
      <w:r w:rsidR="00954BBA" w:rsidRPr="00C77FF5">
        <w:rPr>
          <w:rFonts w:ascii="Times New Roman" w:hAnsi="Times New Roman" w:cs="Times New Roman"/>
          <w:sz w:val="24"/>
          <w:szCs w:val="24"/>
          <w:lang w:val="mn-MN"/>
        </w:rPr>
        <w:t>гадаа</w:t>
      </w:r>
      <w:r w:rsidRPr="00C77FF5">
        <w:rPr>
          <w:rFonts w:ascii="Times New Roman" w:hAnsi="Times New Roman" w:cs="Times New Roman"/>
          <w:sz w:val="24"/>
          <w:szCs w:val="24"/>
          <w:lang w:val="mn-MN"/>
        </w:rPr>
        <w:t xml:space="preserve">д эх үүсвэрээс санхүүжилт авах боломжийг </w:t>
      </w:r>
      <w:r w:rsidR="00954BBA" w:rsidRPr="00C77FF5">
        <w:rPr>
          <w:rFonts w:ascii="Times New Roman" w:hAnsi="Times New Roman" w:cs="Times New Roman"/>
          <w:sz w:val="24"/>
          <w:szCs w:val="24"/>
          <w:lang w:val="mn-MN"/>
        </w:rPr>
        <w:t xml:space="preserve"> хязгаарла</w:t>
      </w:r>
      <w:r w:rsidR="00B21EAC" w:rsidRPr="00C77FF5">
        <w:rPr>
          <w:rFonts w:ascii="Times New Roman" w:hAnsi="Times New Roman" w:cs="Times New Roman"/>
          <w:sz w:val="24"/>
          <w:szCs w:val="24"/>
          <w:lang w:val="mn-MN"/>
        </w:rPr>
        <w:t>х эрсдэл</w:t>
      </w:r>
      <w:r w:rsidR="001729EC" w:rsidRPr="00C77FF5">
        <w:rPr>
          <w:rFonts w:ascii="Times New Roman" w:hAnsi="Times New Roman" w:cs="Times New Roman"/>
          <w:sz w:val="24"/>
          <w:szCs w:val="24"/>
          <w:lang w:val="mn-MN"/>
        </w:rPr>
        <w:t>тэй</w:t>
      </w:r>
      <w:r w:rsidR="00B21EAC" w:rsidRPr="00C77FF5">
        <w:rPr>
          <w:rFonts w:ascii="Times New Roman" w:hAnsi="Times New Roman" w:cs="Times New Roman"/>
          <w:sz w:val="24"/>
          <w:szCs w:val="24"/>
          <w:lang w:val="mn-MN"/>
        </w:rPr>
        <w:t xml:space="preserve"> </w:t>
      </w:r>
      <w:r w:rsidRPr="00C77FF5">
        <w:rPr>
          <w:rFonts w:ascii="Times New Roman" w:hAnsi="Times New Roman" w:cs="Times New Roman"/>
          <w:sz w:val="24"/>
          <w:szCs w:val="24"/>
          <w:lang w:val="mn-MN"/>
        </w:rPr>
        <w:t xml:space="preserve">юм. </w:t>
      </w:r>
      <w:r w:rsidR="00954BBA" w:rsidRPr="00C77FF5">
        <w:rPr>
          <w:rFonts w:ascii="Times New Roman" w:hAnsi="Times New Roman" w:cs="Times New Roman"/>
          <w:sz w:val="24"/>
          <w:szCs w:val="24"/>
          <w:lang w:val="mn-MN"/>
        </w:rPr>
        <w:t xml:space="preserve"> </w:t>
      </w:r>
      <w:r w:rsidR="001729EC" w:rsidRPr="00C77FF5">
        <w:rPr>
          <w:rFonts w:ascii="Times New Roman" w:hAnsi="Times New Roman" w:cs="Times New Roman"/>
          <w:sz w:val="24"/>
          <w:szCs w:val="24"/>
          <w:lang w:val="mn-MN"/>
        </w:rPr>
        <w:t>Иймд хуулийн төслийн 14.1.2-ийн “</w:t>
      </w:r>
      <w:r w:rsidR="001729EC" w:rsidRPr="00C77FF5">
        <w:rPr>
          <w:rFonts w:ascii="Times New Roman" w:hAnsi="Times New Roman" w:cs="Times New Roman"/>
          <w:i/>
          <w:sz w:val="24"/>
          <w:szCs w:val="24"/>
          <w:lang w:val="mn-MN"/>
        </w:rPr>
        <w:t>хуульд өөрөөр заагаагүй бол</w:t>
      </w:r>
      <w:r w:rsidR="001729EC" w:rsidRPr="00C77FF5">
        <w:rPr>
          <w:rFonts w:ascii="Times New Roman" w:hAnsi="Times New Roman" w:cs="Times New Roman"/>
          <w:sz w:val="24"/>
          <w:szCs w:val="24"/>
          <w:lang w:val="mn-MN"/>
        </w:rPr>
        <w:t>” гэснийг хасаж, “</w:t>
      </w:r>
      <w:r w:rsidR="001729EC" w:rsidRPr="00C77FF5">
        <w:rPr>
          <w:rFonts w:ascii="Times New Roman" w:hAnsi="Times New Roman" w:cs="Times New Roman"/>
          <w:i/>
          <w:sz w:val="24"/>
          <w:szCs w:val="24"/>
          <w:lang w:val="mn-MN"/>
        </w:rPr>
        <w:t>хувь хүн</w:t>
      </w:r>
      <w:r w:rsidR="001729EC" w:rsidRPr="00C77FF5">
        <w:rPr>
          <w:rFonts w:ascii="Times New Roman" w:hAnsi="Times New Roman" w:cs="Times New Roman"/>
          <w:sz w:val="24"/>
          <w:szCs w:val="24"/>
          <w:lang w:val="mn-MN"/>
        </w:rPr>
        <w:t xml:space="preserve">” гэсний өмнө “ </w:t>
      </w:r>
      <w:r w:rsidR="001729EC" w:rsidRPr="00C77FF5">
        <w:rPr>
          <w:rFonts w:ascii="Times New Roman" w:hAnsi="Times New Roman" w:cs="Times New Roman"/>
          <w:i/>
          <w:sz w:val="24"/>
          <w:szCs w:val="24"/>
          <w:lang w:val="mn-MN"/>
        </w:rPr>
        <w:t>гадаадын болон олон улсын байгууллагын төсөл, хөтөлбөр</w:t>
      </w:r>
      <w:r w:rsidR="001729EC" w:rsidRPr="00C77FF5">
        <w:rPr>
          <w:rFonts w:ascii="Times New Roman" w:hAnsi="Times New Roman" w:cs="Times New Roman"/>
          <w:sz w:val="24"/>
          <w:szCs w:val="24"/>
          <w:lang w:val="mn-MN"/>
        </w:rPr>
        <w:t>” гэж нэмэх</w:t>
      </w:r>
      <w:r w:rsidR="00E13AD6" w:rsidRPr="00C77FF5">
        <w:rPr>
          <w:rFonts w:ascii="Times New Roman" w:hAnsi="Times New Roman" w:cs="Times New Roman"/>
          <w:sz w:val="24"/>
          <w:szCs w:val="24"/>
          <w:lang w:val="mn-MN"/>
        </w:rPr>
        <w:t>.</w:t>
      </w:r>
      <w:r w:rsidR="00D2160D" w:rsidRPr="00D2160D">
        <w:rPr>
          <w:rFonts w:ascii="Times New Roman" w:hAnsi="Times New Roman" w:cs="Times New Roman"/>
          <w:color w:val="FF0000"/>
          <w:sz w:val="24"/>
          <w:szCs w:val="24"/>
          <w:lang w:val="mn-MN"/>
        </w:rPr>
        <w:t xml:space="preserve"> </w:t>
      </w:r>
    </w:p>
    <w:p w:rsidR="00E13AD6" w:rsidRPr="00C77FF5" w:rsidRDefault="00E13AD6" w:rsidP="00E13AD6">
      <w:pPr>
        <w:pStyle w:val="ListParagraph"/>
        <w:spacing w:before="240"/>
        <w:rPr>
          <w:rFonts w:ascii="Times New Roman" w:hAnsi="Times New Roman" w:cs="Times New Roman"/>
          <w:sz w:val="24"/>
          <w:szCs w:val="24"/>
          <w:lang w:val="mn-MN"/>
        </w:rPr>
      </w:pPr>
    </w:p>
    <w:p w:rsidR="008B6712" w:rsidRPr="00C77FF5" w:rsidRDefault="008B6712" w:rsidP="00E13AD6">
      <w:pPr>
        <w:pStyle w:val="ListParagraph"/>
        <w:numPr>
          <w:ilvl w:val="0"/>
          <w:numId w:val="1"/>
        </w:numPr>
        <w:spacing w:before="240"/>
        <w:rPr>
          <w:rFonts w:ascii="Times New Roman" w:hAnsi="Times New Roman" w:cs="Times New Roman"/>
          <w:sz w:val="24"/>
          <w:szCs w:val="24"/>
          <w:lang w:val="mn-MN"/>
        </w:rPr>
      </w:pPr>
      <w:r w:rsidRPr="00C77FF5">
        <w:rPr>
          <w:rFonts w:ascii="Times New Roman" w:hAnsi="Times New Roman" w:cs="Times New Roman"/>
          <w:sz w:val="24"/>
          <w:szCs w:val="24"/>
          <w:lang w:val="mn-MN"/>
        </w:rPr>
        <w:t>Хуулийн төслийн 5 дугаар зүйлд АТБХЭ-ээс төрийн үйл ажиллагаанд оролцох, төртэй харилцахдаа эдлэх үндсэн эрх, үүргийг тодорхойлсон боловч иргэний нийгмийн байгууллагуудын үйл ажиллагааны үндсэн чиглэл</w:t>
      </w:r>
      <w:r w:rsidR="0090729D" w:rsidRPr="00C77FF5">
        <w:rPr>
          <w:rFonts w:ascii="Times New Roman" w:hAnsi="Times New Roman" w:cs="Times New Roman"/>
          <w:sz w:val="24"/>
          <w:szCs w:val="24"/>
          <w:lang w:val="mn-MN"/>
        </w:rPr>
        <w:t>ийн нэг</w:t>
      </w:r>
      <w:r w:rsidRPr="00C77FF5">
        <w:rPr>
          <w:rFonts w:ascii="Times New Roman" w:hAnsi="Times New Roman" w:cs="Times New Roman"/>
          <w:sz w:val="24"/>
          <w:szCs w:val="24"/>
          <w:lang w:val="mn-MN"/>
        </w:rPr>
        <w:t xml:space="preserve"> болох төрийн байгууллага,  албан тушаалтны үйл ажиллагаа, хууль тогтоомжийн хэрэгжилтэд хөндлөнгийн хяналт тавих, илрүүлсэн зөрчил дутагдлыг арилгуулах шаардлагыг эрх бүхий байгууллагад гаргаж шийдвэрлүүлэх эрхийг орхигдуулс</w:t>
      </w:r>
      <w:r w:rsidR="003828AD" w:rsidRPr="00C77FF5">
        <w:rPr>
          <w:rFonts w:ascii="Times New Roman" w:hAnsi="Times New Roman" w:cs="Times New Roman"/>
          <w:sz w:val="24"/>
          <w:szCs w:val="24"/>
          <w:lang w:val="mn-MN"/>
        </w:rPr>
        <w:t>ан  байна. Энэ нь АТБХЭ-ийн өнөөгийн эрх зүйн байдлыг дордуулах эрсдэл</w:t>
      </w:r>
      <w:r w:rsidR="009A0D5A" w:rsidRPr="00C77FF5">
        <w:rPr>
          <w:rFonts w:ascii="Times New Roman" w:hAnsi="Times New Roman" w:cs="Times New Roman"/>
          <w:sz w:val="24"/>
          <w:szCs w:val="24"/>
          <w:lang w:val="mn-MN"/>
        </w:rPr>
        <w:t xml:space="preserve">тэй </w:t>
      </w:r>
      <w:r w:rsidR="003828AD" w:rsidRPr="00C77FF5">
        <w:rPr>
          <w:rFonts w:ascii="Times New Roman" w:hAnsi="Times New Roman" w:cs="Times New Roman"/>
          <w:sz w:val="24"/>
          <w:szCs w:val="24"/>
          <w:lang w:val="mn-MN"/>
        </w:rPr>
        <w:t xml:space="preserve"> байна.  </w:t>
      </w:r>
      <w:r w:rsidR="00E13AD6" w:rsidRPr="00C77FF5">
        <w:rPr>
          <w:rFonts w:ascii="Times New Roman" w:hAnsi="Times New Roman" w:cs="Times New Roman"/>
          <w:sz w:val="24"/>
          <w:szCs w:val="24"/>
          <w:lang w:val="mn-MN"/>
        </w:rPr>
        <w:br/>
      </w:r>
    </w:p>
    <w:p w:rsidR="00954BBA" w:rsidRPr="00C77FF5" w:rsidRDefault="00954BBA" w:rsidP="00E13AD6">
      <w:pPr>
        <w:pStyle w:val="ListParagraph"/>
        <w:numPr>
          <w:ilvl w:val="0"/>
          <w:numId w:val="1"/>
        </w:numPr>
        <w:spacing w:before="240"/>
        <w:rPr>
          <w:rFonts w:ascii="Times New Roman" w:hAnsi="Times New Roman" w:cs="Times New Roman"/>
          <w:sz w:val="24"/>
          <w:szCs w:val="24"/>
          <w:lang w:val="mn-MN"/>
        </w:rPr>
      </w:pPr>
      <w:r w:rsidRPr="00C77FF5">
        <w:rPr>
          <w:rFonts w:ascii="Times New Roman" w:hAnsi="Times New Roman" w:cs="Times New Roman"/>
          <w:sz w:val="24"/>
          <w:szCs w:val="24"/>
          <w:lang w:val="mn-MN"/>
        </w:rPr>
        <w:t xml:space="preserve">Төрийн зарим чиг үүргийг гэрээгээр гүйцэтгүүлэхэд баримтлах зарчмыг тусгаж өгсөн нь сайшаалтай ч төрийн байгууллага өөрийн үзэмжээр </w:t>
      </w:r>
      <w:r w:rsidR="0090729D" w:rsidRPr="00C77FF5">
        <w:rPr>
          <w:rFonts w:ascii="Times New Roman" w:hAnsi="Times New Roman" w:cs="Times New Roman"/>
          <w:sz w:val="24"/>
          <w:szCs w:val="24"/>
          <w:lang w:val="mn-MN"/>
        </w:rPr>
        <w:t xml:space="preserve">ямар нэг </w:t>
      </w:r>
      <w:r w:rsidR="00BF2ACF" w:rsidRPr="00C77FF5">
        <w:rPr>
          <w:rFonts w:ascii="Times New Roman" w:hAnsi="Times New Roman" w:cs="Times New Roman"/>
          <w:sz w:val="24"/>
          <w:szCs w:val="24"/>
          <w:lang w:val="mn-MN"/>
        </w:rPr>
        <w:t>нөхцөл, шаардлага тогтоох боломж</w:t>
      </w:r>
      <w:r w:rsidR="0090729D" w:rsidRPr="00C77FF5">
        <w:rPr>
          <w:rFonts w:ascii="Times New Roman" w:hAnsi="Times New Roman" w:cs="Times New Roman"/>
          <w:sz w:val="24"/>
          <w:szCs w:val="24"/>
          <w:lang w:val="mn-MN"/>
        </w:rPr>
        <w:t>ийг</w:t>
      </w:r>
      <w:r w:rsidRPr="00C77FF5">
        <w:rPr>
          <w:rFonts w:ascii="Times New Roman" w:hAnsi="Times New Roman" w:cs="Times New Roman"/>
          <w:sz w:val="24"/>
          <w:szCs w:val="24"/>
          <w:lang w:val="mn-MN"/>
        </w:rPr>
        <w:t xml:space="preserve"> нээж өгсөн нь одоогийн нөхцөл байдал дээрдэнэ гэсэн хүлээлтийг хааж байна. </w:t>
      </w:r>
      <w:r w:rsidR="0090729D" w:rsidRPr="00C77FF5">
        <w:rPr>
          <w:rFonts w:ascii="Times New Roman" w:hAnsi="Times New Roman" w:cs="Times New Roman"/>
          <w:sz w:val="24"/>
          <w:szCs w:val="24"/>
          <w:lang w:val="mn-MN"/>
        </w:rPr>
        <w:t xml:space="preserve">Өөрөөр хэлбэл, </w:t>
      </w:r>
      <w:r w:rsidRPr="00C77FF5">
        <w:rPr>
          <w:rFonts w:ascii="Times New Roman" w:hAnsi="Times New Roman" w:cs="Times New Roman"/>
          <w:sz w:val="24"/>
          <w:szCs w:val="24"/>
          <w:lang w:val="mn-MN"/>
        </w:rPr>
        <w:t xml:space="preserve">хуулийн төслийн 12.3.1-д </w:t>
      </w:r>
      <w:r w:rsidR="00BF2ACF" w:rsidRPr="00C77FF5">
        <w:rPr>
          <w:rFonts w:ascii="Times New Roman" w:hAnsi="Times New Roman" w:cs="Times New Roman"/>
          <w:sz w:val="24"/>
          <w:szCs w:val="24"/>
          <w:lang w:val="mn-MN"/>
        </w:rPr>
        <w:t xml:space="preserve">төрийн зарим чиг үүргийг гэрээгээр гүйцэтгүүлэхэд баримтлах </w:t>
      </w:r>
      <w:r w:rsidRPr="00C77FF5">
        <w:rPr>
          <w:rFonts w:ascii="Times New Roman" w:hAnsi="Times New Roman" w:cs="Times New Roman"/>
          <w:sz w:val="24"/>
          <w:szCs w:val="24"/>
          <w:lang w:val="mn-MN"/>
        </w:rPr>
        <w:t>зарчмыг тусгаж өгс</w:t>
      </w:r>
      <w:r w:rsidR="00BF2ACF" w:rsidRPr="00C77FF5">
        <w:rPr>
          <w:rFonts w:ascii="Times New Roman" w:hAnsi="Times New Roman" w:cs="Times New Roman"/>
          <w:sz w:val="24"/>
          <w:szCs w:val="24"/>
          <w:lang w:val="mn-MN"/>
        </w:rPr>
        <w:t xml:space="preserve">өн боловч </w:t>
      </w:r>
      <w:r w:rsidRPr="00C77FF5">
        <w:rPr>
          <w:rFonts w:ascii="Times New Roman" w:hAnsi="Times New Roman" w:cs="Times New Roman"/>
          <w:sz w:val="24"/>
          <w:szCs w:val="24"/>
          <w:lang w:val="mn-MN"/>
        </w:rPr>
        <w:t xml:space="preserve">12.4-т </w:t>
      </w:r>
      <w:r w:rsidR="00BF2ACF" w:rsidRPr="00C77FF5">
        <w:rPr>
          <w:rFonts w:ascii="Times New Roman" w:hAnsi="Times New Roman" w:cs="Times New Roman"/>
          <w:sz w:val="24"/>
          <w:szCs w:val="24"/>
          <w:lang w:val="mn-MN"/>
        </w:rPr>
        <w:t xml:space="preserve">дээрх </w:t>
      </w:r>
      <w:r w:rsidRPr="00C77FF5">
        <w:rPr>
          <w:rFonts w:ascii="Times New Roman" w:hAnsi="Times New Roman" w:cs="Times New Roman"/>
          <w:sz w:val="24"/>
          <w:szCs w:val="24"/>
          <w:lang w:val="mn-MN"/>
        </w:rPr>
        <w:t>зарчмыг да</w:t>
      </w:r>
      <w:r w:rsidR="00BF2ACF" w:rsidRPr="00C77FF5">
        <w:rPr>
          <w:rFonts w:ascii="Times New Roman" w:hAnsi="Times New Roman" w:cs="Times New Roman"/>
          <w:sz w:val="24"/>
          <w:szCs w:val="24"/>
          <w:lang w:val="mn-MN"/>
        </w:rPr>
        <w:t>гахгүй байх боломжийг нээж өг</w:t>
      </w:r>
      <w:r w:rsidR="0090729D" w:rsidRPr="00C77FF5">
        <w:rPr>
          <w:rFonts w:ascii="Times New Roman" w:hAnsi="Times New Roman" w:cs="Times New Roman"/>
          <w:sz w:val="24"/>
          <w:szCs w:val="24"/>
          <w:lang w:val="mn-MN"/>
        </w:rPr>
        <w:t xml:space="preserve">чээ. </w:t>
      </w:r>
    </w:p>
    <w:p w:rsidR="00E13AD6" w:rsidRPr="00C77FF5" w:rsidRDefault="00E13AD6" w:rsidP="00E13AD6">
      <w:pPr>
        <w:pStyle w:val="ListParagraph"/>
        <w:spacing w:before="240"/>
        <w:rPr>
          <w:rFonts w:ascii="Times New Roman" w:hAnsi="Times New Roman" w:cs="Times New Roman"/>
          <w:sz w:val="24"/>
          <w:szCs w:val="24"/>
          <w:lang w:val="mn-MN"/>
        </w:rPr>
      </w:pPr>
    </w:p>
    <w:p w:rsidR="009B36FA" w:rsidRPr="00C77FF5" w:rsidRDefault="00291BD4" w:rsidP="00E13AD6">
      <w:pPr>
        <w:pStyle w:val="ListParagraph"/>
        <w:numPr>
          <w:ilvl w:val="0"/>
          <w:numId w:val="1"/>
        </w:numPr>
        <w:spacing w:before="240"/>
        <w:rPr>
          <w:rFonts w:ascii="Times New Roman" w:hAnsi="Times New Roman" w:cs="Times New Roman"/>
          <w:sz w:val="24"/>
          <w:szCs w:val="24"/>
          <w:lang w:val="mn-MN"/>
        </w:rPr>
      </w:pPr>
      <w:r w:rsidRPr="00C77FF5">
        <w:rPr>
          <w:rFonts w:ascii="Times New Roman" w:hAnsi="Times New Roman" w:cs="Times New Roman"/>
          <w:sz w:val="24"/>
          <w:szCs w:val="24"/>
          <w:lang w:val="mn-MN"/>
        </w:rPr>
        <w:t>Иргэдийн эвлэлдэн нэгдэх эр</w:t>
      </w:r>
      <w:r w:rsidR="0090729D" w:rsidRPr="00C77FF5">
        <w:rPr>
          <w:rFonts w:ascii="Times New Roman" w:hAnsi="Times New Roman" w:cs="Times New Roman"/>
          <w:sz w:val="24"/>
          <w:szCs w:val="24"/>
          <w:lang w:val="mn-MN"/>
        </w:rPr>
        <w:t>хийг хангах нэг үндсэн нөхцөл бол</w:t>
      </w:r>
      <w:r w:rsidRPr="00C77FF5">
        <w:rPr>
          <w:rFonts w:ascii="Times New Roman" w:hAnsi="Times New Roman" w:cs="Times New Roman"/>
          <w:sz w:val="24"/>
          <w:szCs w:val="24"/>
          <w:lang w:val="mn-MN"/>
        </w:rPr>
        <w:t xml:space="preserve"> төрийн бус  ба</w:t>
      </w:r>
      <w:r w:rsidR="0090729D" w:rsidRPr="00C77FF5">
        <w:rPr>
          <w:rFonts w:ascii="Times New Roman" w:hAnsi="Times New Roman" w:cs="Times New Roman"/>
          <w:sz w:val="24"/>
          <w:szCs w:val="24"/>
          <w:lang w:val="mn-MN"/>
        </w:rPr>
        <w:t xml:space="preserve">йгууллага байгуулж, </w:t>
      </w:r>
      <w:r w:rsidRPr="00C77FF5">
        <w:rPr>
          <w:rFonts w:ascii="Times New Roman" w:hAnsi="Times New Roman" w:cs="Times New Roman"/>
          <w:sz w:val="24"/>
          <w:szCs w:val="24"/>
          <w:lang w:val="mn-MN"/>
        </w:rPr>
        <w:t>бүртгүүлэх үйл явц</w:t>
      </w:r>
      <w:r w:rsidR="0090729D" w:rsidRPr="00C77FF5">
        <w:rPr>
          <w:rFonts w:ascii="Times New Roman" w:hAnsi="Times New Roman" w:cs="Times New Roman"/>
          <w:sz w:val="24"/>
          <w:szCs w:val="24"/>
          <w:lang w:val="mn-MN"/>
        </w:rPr>
        <w:t xml:space="preserve">ыг </w:t>
      </w:r>
      <w:r w:rsidRPr="00C77FF5">
        <w:rPr>
          <w:rFonts w:ascii="Times New Roman" w:hAnsi="Times New Roman" w:cs="Times New Roman"/>
          <w:sz w:val="24"/>
          <w:szCs w:val="24"/>
          <w:lang w:val="mn-MN"/>
        </w:rPr>
        <w:t>аль болох хялбар, энгийн б</w:t>
      </w:r>
      <w:r w:rsidR="0090729D" w:rsidRPr="00C77FF5">
        <w:rPr>
          <w:rFonts w:ascii="Times New Roman" w:hAnsi="Times New Roman" w:cs="Times New Roman"/>
          <w:sz w:val="24"/>
          <w:szCs w:val="24"/>
          <w:lang w:val="mn-MN"/>
        </w:rPr>
        <w:t xml:space="preserve">олгох </w:t>
      </w:r>
      <w:r w:rsidRPr="00C77FF5">
        <w:rPr>
          <w:rFonts w:ascii="Times New Roman" w:hAnsi="Times New Roman" w:cs="Times New Roman"/>
          <w:sz w:val="24"/>
          <w:szCs w:val="24"/>
          <w:lang w:val="mn-MN"/>
        </w:rPr>
        <w:t xml:space="preserve">явдал юм.  Гэтэл хуулийн төсөлд төрийн бус байгууллагын бүртгэлтэй холбоотой зарим нэг үндэслэлгүй хязгаарлалт, нэмэлт шаардлагуудыг тусгасан нь эвлэлдэн нэгдэх эрхийг хязгаарлах </w:t>
      </w:r>
      <w:r w:rsidR="0090729D" w:rsidRPr="00C77FF5">
        <w:rPr>
          <w:rFonts w:ascii="Times New Roman" w:hAnsi="Times New Roman" w:cs="Times New Roman"/>
          <w:sz w:val="24"/>
          <w:szCs w:val="24"/>
          <w:lang w:val="mn-MN"/>
        </w:rPr>
        <w:t xml:space="preserve">үр дагавар үүсгэж болзошгүй </w:t>
      </w:r>
      <w:r w:rsidRPr="00C77FF5">
        <w:rPr>
          <w:rFonts w:ascii="Times New Roman" w:hAnsi="Times New Roman" w:cs="Times New Roman"/>
          <w:sz w:val="24"/>
          <w:szCs w:val="24"/>
          <w:lang w:val="mn-MN"/>
        </w:rPr>
        <w:t xml:space="preserve">байна. Үүнд: </w:t>
      </w:r>
    </w:p>
    <w:p w:rsidR="009B36FA" w:rsidRPr="00C77FF5" w:rsidRDefault="00291BD4" w:rsidP="00E13AD6">
      <w:pPr>
        <w:pStyle w:val="ListParagraph"/>
        <w:numPr>
          <w:ilvl w:val="0"/>
          <w:numId w:val="2"/>
        </w:numPr>
        <w:spacing w:before="240"/>
        <w:rPr>
          <w:rFonts w:ascii="Times New Roman" w:hAnsi="Times New Roman" w:cs="Times New Roman"/>
          <w:sz w:val="24"/>
          <w:szCs w:val="24"/>
          <w:lang w:val="mn-MN"/>
        </w:rPr>
      </w:pPr>
      <w:r w:rsidRPr="00C77FF5">
        <w:rPr>
          <w:rFonts w:ascii="Times New Roman" w:hAnsi="Times New Roman" w:cs="Times New Roman"/>
          <w:sz w:val="24"/>
          <w:szCs w:val="24"/>
          <w:lang w:val="mn-MN"/>
        </w:rPr>
        <w:t>“</w:t>
      </w:r>
      <w:r w:rsidRPr="00C77FF5">
        <w:rPr>
          <w:rFonts w:ascii="Times New Roman" w:hAnsi="Times New Roman" w:cs="Times New Roman"/>
          <w:i/>
          <w:sz w:val="24"/>
          <w:szCs w:val="24"/>
          <w:lang w:val="mn-MN"/>
        </w:rPr>
        <w:t>монгол</w:t>
      </w:r>
      <w:r w:rsidRPr="00C77FF5">
        <w:rPr>
          <w:rFonts w:ascii="Times New Roman" w:hAnsi="Times New Roman" w:cs="Times New Roman"/>
          <w:sz w:val="24"/>
          <w:szCs w:val="24"/>
          <w:lang w:val="mn-MN"/>
        </w:rPr>
        <w:t>”, “</w:t>
      </w:r>
      <w:r w:rsidRPr="00C77FF5">
        <w:rPr>
          <w:rFonts w:ascii="Times New Roman" w:hAnsi="Times New Roman" w:cs="Times New Roman"/>
          <w:i/>
          <w:sz w:val="24"/>
          <w:szCs w:val="24"/>
          <w:lang w:val="mn-MN"/>
        </w:rPr>
        <w:t>монголын</w:t>
      </w:r>
      <w:r w:rsidRPr="00C77FF5">
        <w:rPr>
          <w:rFonts w:ascii="Times New Roman" w:hAnsi="Times New Roman" w:cs="Times New Roman"/>
          <w:sz w:val="24"/>
          <w:szCs w:val="24"/>
          <w:lang w:val="mn-MN"/>
        </w:rPr>
        <w:t>”, “</w:t>
      </w:r>
      <w:r w:rsidRPr="00C77FF5">
        <w:rPr>
          <w:rFonts w:ascii="Times New Roman" w:hAnsi="Times New Roman" w:cs="Times New Roman"/>
          <w:i/>
          <w:sz w:val="24"/>
          <w:szCs w:val="24"/>
          <w:lang w:val="mn-MN"/>
        </w:rPr>
        <w:t>үндэсний</w:t>
      </w:r>
      <w:r w:rsidRPr="00C77FF5">
        <w:rPr>
          <w:rFonts w:ascii="Times New Roman" w:hAnsi="Times New Roman" w:cs="Times New Roman"/>
          <w:sz w:val="24"/>
          <w:szCs w:val="24"/>
          <w:lang w:val="mn-MN"/>
        </w:rPr>
        <w:t xml:space="preserve">” гэсэн үгийг оноосон нэрэнд оруулахгүй гэсэн нь үндэслэлгүй хязгаарлалт болжээ. </w:t>
      </w:r>
    </w:p>
    <w:p w:rsidR="00E13AD6" w:rsidRPr="00C77FF5" w:rsidRDefault="00E13AD6" w:rsidP="00E13AD6">
      <w:pPr>
        <w:pStyle w:val="ListParagraph"/>
        <w:spacing w:before="240"/>
        <w:ind w:left="1440"/>
        <w:rPr>
          <w:rFonts w:ascii="Times New Roman" w:hAnsi="Times New Roman" w:cs="Times New Roman"/>
          <w:sz w:val="24"/>
          <w:szCs w:val="24"/>
          <w:lang w:val="mn-MN"/>
        </w:rPr>
      </w:pPr>
    </w:p>
    <w:p w:rsidR="00E13AD6" w:rsidRPr="00C77FF5" w:rsidRDefault="00291BD4" w:rsidP="00E13AD6">
      <w:pPr>
        <w:pStyle w:val="ListParagraph"/>
        <w:numPr>
          <w:ilvl w:val="0"/>
          <w:numId w:val="2"/>
        </w:numPr>
        <w:spacing w:before="240"/>
        <w:rPr>
          <w:rFonts w:ascii="Times New Roman" w:hAnsi="Times New Roman" w:cs="Times New Roman"/>
          <w:sz w:val="24"/>
          <w:szCs w:val="24"/>
          <w:lang w:val="mn-MN"/>
        </w:rPr>
      </w:pPr>
      <w:proofErr w:type="spellStart"/>
      <w:r w:rsidRPr="00C77FF5">
        <w:rPr>
          <w:rFonts w:ascii="Times New Roman" w:hAnsi="Times New Roman" w:cs="Times New Roman"/>
          <w:sz w:val="24"/>
          <w:szCs w:val="24"/>
          <w:lang w:val="mn-MN"/>
        </w:rPr>
        <w:t>АТБХЭ</w:t>
      </w:r>
      <w:proofErr w:type="spellEnd"/>
      <w:r w:rsidRPr="00C77FF5">
        <w:rPr>
          <w:rFonts w:ascii="Times New Roman" w:hAnsi="Times New Roman" w:cs="Times New Roman"/>
          <w:sz w:val="24"/>
          <w:szCs w:val="24"/>
          <w:lang w:val="mn-MN"/>
        </w:rPr>
        <w:t xml:space="preserve"> нь оноосон нэрийн ард “</w:t>
      </w:r>
      <w:r w:rsidRPr="00C77FF5">
        <w:rPr>
          <w:rFonts w:ascii="Times New Roman" w:hAnsi="Times New Roman" w:cs="Times New Roman"/>
          <w:i/>
          <w:sz w:val="24"/>
          <w:szCs w:val="24"/>
          <w:lang w:val="mn-MN"/>
        </w:rPr>
        <w:t>бүртгэлгүй холбоо</w:t>
      </w:r>
      <w:r w:rsidRPr="00C77FF5">
        <w:rPr>
          <w:rFonts w:ascii="Times New Roman" w:hAnsi="Times New Roman" w:cs="Times New Roman"/>
          <w:sz w:val="24"/>
          <w:szCs w:val="24"/>
          <w:lang w:val="mn-MN"/>
        </w:rPr>
        <w:t>”, “</w:t>
      </w:r>
      <w:r w:rsidRPr="00C77FF5">
        <w:rPr>
          <w:rFonts w:ascii="Times New Roman" w:hAnsi="Times New Roman" w:cs="Times New Roman"/>
          <w:i/>
          <w:sz w:val="24"/>
          <w:szCs w:val="24"/>
          <w:lang w:val="mn-MN"/>
        </w:rPr>
        <w:t>нийтийн сан</w:t>
      </w:r>
      <w:r w:rsidRPr="00C77FF5">
        <w:rPr>
          <w:rFonts w:ascii="Times New Roman" w:hAnsi="Times New Roman" w:cs="Times New Roman"/>
          <w:sz w:val="24"/>
          <w:szCs w:val="24"/>
          <w:lang w:val="mn-MN"/>
        </w:rPr>
        <w:t>”, “</w:t>
      </w:r>
      <w:r w:rsidRPr="00C77FF5">
        <w:rPr>
          <w:rFonts w:ascii="Times New Roman" w:hAnsi="Times New Roman" w:cs="Times New Roman"/>
          <w:i/>
          <w:sz w:val="24"/>
          <w:szCs w:val="24"/>
          <w:lang w:val="mn-MN"/>
        </w:rPr>
        <w:t>хувийн сан</w:t>
      </w:r>
      <w:r w:rsidRPr="00C77FF5">
        <w:rPr>
          <w:rFonts w:ascii="Times New Roman" w:hAnsi="Times New Roman" w:cs="Times New Roman"/>
          <w:sz w:val="24"/>
          <w:szCs w:val="24"/>
          <w:lang w:val="mn-MN"/>
        </w:rPr>
        <w:t xml:space="preserve">” гэх мэт тэмдэглэгээг хэрэглэх  шаардлага тавьсан нь улсын бүртгэлд шинэчлэн бүртгүүлэх </w:t>
      </w:r>
      <w:r w:rsidR="0090729D" w:rsidRPr="00C77FF5">
        <w:rPr>
          <w:rFonts w:ascii="Times New Roman" w:hAnsi="Times New Roman" w:cs="Times New Roman"/>
          <w:sz w:val="24"/>
          <w:szCs w:val="24"/>
          <w:lang w:val="mn-MN"/>
        </w:rPr>
        <w:t xml:space="preserve">үндэслэлгүй </w:t>
      </w:r>
      <w:r w:rsidRPr="00C77FF5">
        <w:rPr>
          <w:rFonts w:ascii="Times New Roman" w:hAnsi="Times New Roman" w:cs="Times New Roman"/>
          <w:sz w:val="24"/>
          <w:szCs w:val="24"/>
          <w:lang w:val="mn-MN"/>
        </w:rPr>
        <w:t>шаардлагыг бий болгож байна. Ийнхүү хууль хүчин төгөлдөр болсноос хойш нэг жилийн хугацаанд шинэчлэн бүртгүүлэх</w:t>
      </w:r>
      <w:r w:rsidR="0090729D" w:rsidRPr="00C77FF5">
        <w:rPr>
          <w:rFonts w:ascii="Times New Roman" w:hAnsi="Times New Roman" w:cs="Times New Roman"/>
          <w:sz w:val="24"/>
          <w:szCs w:val="24"/>
          <w:lang w:val="mn-MN"/>
        </w:rPr>
        <w:t xml:space="preserve"> үүрэг хүлээлгэсэн нь </w:t>
      </w:r>
      <w:r w:rsidRPr="00C77FF5">
        <w:rPr>
          <w:rFonts w:ascii="Times New Roman" w:hAnsi="Times New Roman" w:cs="Times New Roman"/>
          <w:sz w:val="24"/>
          <w:szCs w:val="24"/>
          <w:lang w:val="mn-MN"/>
        </w:rPr>
        <w:t xml:space="preserve">хуулийн этгээдийн нэрийг баталгаажуулах, зарлуулах, анх үүсгэн байгуулагчийн гарын үсэг бүхий шийдвэр гаргуулахаас </w:t>
      </w:r>
      <w:r w:rsidR="0090729D" w:rsidRPr="00C77FF5">
        <w:rPr>
          <w:rFonts w:ascii="Times New Roman" w:hAnsi="Times New Roman" w:cs="Times New Roman"/>
          <w:sz w:val="24"/>
          <w:szCs w:val="24"/>
          <w:lang w:val="mn-MN"/>
        </w:rPr>
        <w:t xml:space="preserve">эхлээд </w:t>
      </w:r>
      <w:r w:rsidRPr="00C77FF5">
        <w:rPr>
          <w:rFonts w:ascii="Times New Roman" w:hAnsi="Times New Roman" w:cs="Times New Roman"/>
          <w:sz w:val="24"/>
          <w:szCs w:val="24"/>
          <w:lang w:val="mn-MN"/>
        </w:rPr>
        <w:t xml:space="preserve">татвар, нийгмийн даатгалын газарт </w:t>
      </w:r>
      <w:r w:rsidR="0090729D" w:rsidRPr="00C77FF5">
        <w:rPr>
          <w:rFonts w:ascii="Times New Roman" w:hAnsi="Times New Roman" w:cs="Times New Roman"/>
          <w:sz w:val="24"/>
          <w:szCs w:val="24"/>
          <w:lang w:val="mn-MN"/>
        </w:rPr>
        <w:t xml:space="preserve">бүртгэлээ  дахин өөрчлүүлэх, </w:t>
      </w:r>
      <w:r w:rsidRPr="00C77FF5">
        <w:rPr>
          <w:rFonts w:ascii="Times New Roman" w:hAnsi="Times New Roman" w:cs="Times New Roman"/>
          <w:sz w:val="24"/>
          <w:szCs w:val="24"/>
          <w:lang w:val="mn-MN"/>
        </w:rPr>
        <w:t>албан бланк, тамга тэмдэгээ</w:t>
      </w:r>
      <w:r w:rsidR="0090729D" w:rsidRPr="00C77FF5">
        <w:rPr>
          <w:rFonts w:ascii="Times New Roman" w:hAnsi="Times New Roman" w:cs="Times New Roman"/>
          <w:sz w:val="24"/>
          <w:szCs w:val="24"/>
          <w:lang w:val="mn-MN"/>
        </w:rPr>
        <w:t xml:space="preserve"> </w:t>
      </w:r>
      <w:r w:rsidRPr="00C77FF5">
        <w:rPr>
          <w:rFonts w:ascii="Times New Roman" w:hAnsi="Times New Roman" w:cs="Times New Roman"/>
          <w:sz w:val="24"/>
          <w:szCs w:val="24"/>
          <w:lang w:val="mn-MN"/>
        </w:rPr>
        <w:t xml:space="preserve">хүртэл өөрчлөх </w:t>
      </w:r>
      <w:r w:rsidR="0090729D" w:rsidRPr="00C77FF5">
        <w:rPr>
          <w:rFonts w:ascii="Times New Roman" w:hAnsi="Times New Roman" w:cs="Times New Roman"/>
          <w:sz w:val="24"/>
          <w:szCs w:val="24"/>
          <w:lang w:val="mn-MN"/>
        </w:rPr>
        <w:t>зэрэг нэмэлт зардал, ач</w:t>
      </w:r>
      <w:r w:rsidRPr="00C77FF5">
        <w:rPr>
          <w:rFonts w:ascii="Times New Roman" w:hAnsi="Times New Roman" w:cs="Times New Roman"/>
          <w:sz w:val="24"/>
          <w:szCs w:val="24"/>
          <w:lang w:val="mn-MN"/>
        </w:rPr>
        <w:t>аалал</w:t>
      </w:r>
      <w:r w:rsidR="0090729D" w:rsidRPr="00C77FF5">
        <w:rPr>
          <w:rFonts w:ascii="Times New Roman" w:hAnsi="Times New Roman" w:cs="Times New Roman"/>
          <w:sz w:val="24"/>
          <w:szCs w:val="24"/>
          <w:lang w:val="mn-MN"/>
        </w:rPr>
        <w:t xml:space="preserve"> дарамт</w:t>
      </w:r>
      <w:r w:rsidRPr="00C77FF5">
        <w:rPr>
          <w:rFonts w:ascii="Times New Roman" w:hAnsi="Times New Roman" w:cs="Times New Roman"/>
          <w:sz w:val="24"/>
          <w:szCs w:val="24"/>
          <w:lang w:val="mn-MN"/>
        </w:rPr>
        <w:t xml:space="preserve"> </w:t>
      </w:r>
      <w:r w:rsidR="0090729D" w:rsidRPr="00C77FF5">
        <w:rPr>
          <w:rFonts w:ascii="Times New Roman" w:hAnsi="Times New Roman" w:cs="Times New Roman"/>
          <w:sz w:val="24"/>
          <w:szCs w:val="24"/>
          <w:lang w:val="mn-MN"/>
        </w:rPr>
        <w:t xml:space="preserve">учруулахаар </w:t>
      </w:r>
      <w:r w:rsidRPr="00C77FF5">
        <w:rPr>
          <w:rFonts w:ascii="Times New Roman" w:hAnsi="Times New Roman" w:cs="Times New Roman"/>
          <w:sz w:val="24"/>
          <w:szCs w:val="24"/>
          <w:lang w:val="mn-MN"/>
        </w:rPr>
        <w:t xml:space="preserve">байна. </w:t>
      </w:r>
      <w:r w:rsidR="008465DE" w:rsidRPr="00C77FF5">
        <w:rPr>
          <w:rFonts w:ascii="Times New Roman" w:hAnsi="Times New Roman" w:cs="Times New Roman"/>
          <w:sz w:val="24"/>
          <w:szCs w:val="24"/>
          <w:lang w:val="mn-MN"/>
        </w:rPr>
        <w:t xml:space="preserve">Өмнө нь төрийн бус байгууллагын </w:t>
      </w:r>
      <w:r w:rsidR="002563D1" w:rsidRPr="00C77FF5">
        <w:rPr>
          <w:rFonts w:ascii="Times New Roman" w:hAnsi="Times New Roman" w:cs="Times New Roman"/>
          <w:sz w:val="24"/>
          <w:szCs w:val="24"/>
          <w:lang w:val="mn-MN"/>
        </w:rPr>
        <w:t xml:space="preserve">бүртгэлийг Хууль зүйн яамнаас Улсын бүртгэлийн газарт шилжүүлэхэд </w:t>
      </w:r>
      <w:r w:rsidR="0090729D" w:rsidRPr="00C77FF5">
        <w:rPr>
          <w:rFonts w:ascii="Times New Roman" w:hAnsi="Times New Roman" w:cs="Times New Roman"/>
          <w:sz w:val="24"/>
          <w:szCs w:val="24"/>
          <w:lang w:val="mn-MN"/>
        </w:rPr>
        <w:t xml:space="preserve">олон төрийн бус байгууллага </w:t>
      </w:r>
      <w:r w:rsidR="002563D1" w:rsidRPr="00C77FF5">
        <w:rPr>
          <w:rFonts w:ascii="Times New Roman" w:hAnsi="Times New Roman" w:cs="Times New Roman"/>
          <w:sz w:val="24"/>
          <w:szCs w:val="24"/>
          <w:lang w:val="mn-MN"/>
        </w:rPr>
        <w:t xml:space="preserve">дээрх шалтгааны </w:t>
      </w:r>
      <w:r w:rsidR="002563D1" w:rsidRPr="00C77FF5">
        <w:rPr>
          <w:rFonts w:ascii="Times New Roman" w:hAnsi="Times New Roman" w:cs="Times New Roman"/>
          <w:sz w:val="24"/>
          <w:szCs w:val="24"/>
          <w:lang w:val="mn-MN"/>
        </w:rPr>
        <w:lastRenderedPageBreak/>
        <w:t>улмаас шинэч</w:t>
      </w:r>
      <w:r w:rsidR="0090729D" w:rsidRPr="00C77FF5">
        <w:rPr>
          <w:rFonts w:ascii="Times New Roman" w:hAnsi="Times New Roman" w:cs="Times New Roman"/>
          <w:sz w:val="24"/>
          <w:szCs w:val="24"/>
          <w:lang w:val="mn-MN"/>
        </w:rPr>
        <w:t xml:space="preserve">илсэн </w:t>
      </w:r>
      <w:r w:rsidR="002563D1" w:rsidRPr="00C77FF5">
        <w:rPr>
          <w:rFonts w:ascii="Times New Roman" w:hAnsi="Times New Roman" w:cs="Times New Roman"/>
          <w:sz w:val="24"/>
          <w:szCs w:val="24"/>
          <w:lang w:val="mn-MN"/>
        </w:rPr>
        <w:t>бүртгэл хийлгэ</w:t>
      </w:r>
      <w:r w:rsidR="0090729D" w:rsidRPr="00C77FF5">
        <w:rPr>
          <w:rFonts w:ascii="Times New Roman" w:hAnsi="Times New Roman" w:cs="Times New Roman"/>
          <w:sz w:val="24"/>
          <w:szCs w:val="24"/>
          <w:lang w:val="mn-MN"/>
        </w:rPr>
        <w:t>ж</w:t>
      </w:r>
      <w:r w:rsidR="002563D1" w:rsidRPr="00C77FF5">
        <w:rPr>
          <w:rFonts w:ascii="Times New Roman" w:hAnsi="Times New Roman" w:cs="Times New Roman"/>
          <w:sz w:val="24"/>
          <w:szCs w:val="24"/>
          <w:lang w:val="mn-MN"/>
        </w:rPr>
        <w:t xml:space="preserve"> </w:t>
      </w:r>
      <w:r w:rsidR="0090729D" w:rsidRPr="00C77FF5">
        <w:rPr>
          <w:rFonts w:ascii="Times New Roman" w:hAnsi="Times New Roman" w:cs="Times New Roman"/>
          <w:sz w:val="24"/>
          <w:szCs w:val="24"/>
          <w:lang w:val="mn-MN"/>
        </w:rPr>
        <w:t xml:space="preserve">чадахгүй, </w:t>
      </w:r>
      <w:r w:rsidR="002563D1" w:rsidRPr="00C77FF5">
        <w:rPr>
          <w:rFonts w:ascii="Times New Roman" w:hAnsi="Times New Roman" w:cs="Times New Roman"/>
          <w:sz w:val="24"/>
          <w:szCs w:val="24"/>
          <w:lang w:val="mn-MN"/>
        </w:rPr>
        <w:t xml:space="preserve">үйл ажиллагаанд нь саад бэрхшээл учирч байсныг </w:t>
      </w:r>
      <w:r w:rsidR="0090729D" w:rsidRPr="00C77FF5">
        <w:rPr>
          <w:rFonts w:ascii="Times New Roman" w:hAnsi="Times New Roman" w:cs="Times New Roman"/>
          <w:sz w:val="24"/>
          <w:szCs w:val="24"/>
          <w:lang w:val="mn-MN"/>
        </w:rPr>
        <w:t xml:space="preserve">анхаарах ёстой. </w:t>
      </w:r>
    </w:p>
    <w:p w:rsidR="00E13AD6" w:rsidRPr="00C77FF5" w:rsidRDefault="00E13AD6" w:rsidP="00E13AD6">
      <w:pPr>
        <w:pStyle w:val="ListParagraph"/>
        <w:rPr>
          <w:rFonts w:ascii="Times New Roman" w:hAnsi="Times New Roman" w:cs="Times New Roman"/>
          <w:sz w:val="24"/>
          <w:szCs w:val="24"/>
          <w:lang w:val="mn-MN"/>
        </w:rPr>
      </w:pPr>
    </w:p>
    <w:p w:rsidR="00291BD4" w:rsidRPr="00C77FF5" w:rsidRDefault="002563D1" w:rsidP="00E13AD6">
      <w:pPr>
        <w:pStyle w:val="ListParagraph"/>
        <w:spacing w:before="240"/>
        <w:ind w:left="1440"/>
        <w:rPr>
          <w:rFonts w:ascii="Times New Roman" w:hAnsi="Times New Roman" w:cs="Times New Roman"/>
          <w:sz w:val="24"/>
          <w:szCs w:val="24"/>
          <w:lang w:val="mn-MN"/>
        </w:rPr>
      </w:pPr>
      <w:r w:rsidRPr="00C77FF5">
        <w:rPr>
          <w:rFonts w:ascii="Times New Roman" w:hAnsi="Times New Roman" w:cs="Times New Roman"/>
          <w:sz w:val="24"/>
          <w:szCs w:val="24"/>
          <w:lang w:val="mn-MN"/>
        </w:rPr>
        <w:t xml:space="preserve"> </w:t>
      </w:r>
    </w:p>
    <w:p w:rsidR="00E4269D" w:rsidRPr="00C77FF5" w:rsidRDefault="00E4269D" w:rsidP="00E13AD6">
      <w:pPr>
        <w:pStyle w:val="ListParagraph"/>
        <w:numPr>
          <w:ilvl w:val="0"/>
          <w:numId w:val="1"/>
        </w:numPr>
        <w:spacing w:before="240"/>
        <w:rPr>
          <w:rFonts w:ascii="Times New Roman" w:hAnsi="Times New Roman" w:cs="Times New Roman"/>
          <w:sz w:val="24"/>
          <w:szCs w:val="24"/>
          <w:lang w:val="mn-MN"/>
        </w:rPr>
      </w:pPr>
      <w:r w:rsidRPr="00C77FF5">
        <w:rPr>
          <w:rFonts w:ascii="Times New Roman" w:hAnsi="Times New Roman" w:cs="Times New Roman"/>
          <w:sz w:val="24"/>
          <w:szCs w:val="24"/>
          <w:lang w:val="mn-MN"/>
        </w:rPr>
        <w:t>Хуулийн төслийн 6.2.5 болон 11.1-д “</w:t>
      </w:r>
      <w:r w:rsidRPr="00C77FF5">
        <w:rPr>
          <w:rFonts w:ascii="Times New Roman" w:hAnsi="Times New Roman" w:cs="Times New Roman"/>
          <w:i/>
          <w:sz w:val="24"/>
          <w:szCs w:val="24"/>
          <w:lang w:val="mn-MN"/>
        </w:rPr>
        <w:t>хууль буюу дүрэмдээ зааснаар бусад зорилгоор аж ахуйн үйл ажиллагаа эрхлэх</w:t>
      </w:r>
      <w:r w:rsidRPr="00C77FF5">
        <w:rPr>
          <w:rFonts w:ascii="Times New Roman" w:hAnsi="Times New Roman" w:cs="Times New Roman"/>
          <w:sz w:val="24"/>
          <w:szCs w:val="24"/>
          <w:lang w:val="mn-MN"/>
        </w:rPr>
        <w:t>” гэсэн нь төрийн бус байгууллаг</w:t>
      </w:r>
      <w:r w:rsidR="0090729D" w:rsidRPr="00C77FF5">
        <w:rPr>
          <w:rFonts w:ascii="Times New Roman" w:hAnsi="Times New Roman" w:cs="Times New Roman"/>
          <w:sz w:val="24"/>
          <w:szCs w:val="24"/>
          <w:lang w:val="mn-MN"/>
        </w:rPr>
        <w:t xml:space="preserve">ын </w:t>
      </w:r>
      <w:r w:rsidRPr="00C77FF5">
        <w:rPr>
          <w:rFonts w:ascii="Times New Roman" w:hAnsi="Times New Roman" w:cs="Times New Roman"/>
          <w:sz w:val="24"/>
          <w:szCs w:val="24"/>
          <w:lang w:val="mn-MN"/>
        </w:rPr>
        <w:t xml:space="preserve">аж ахуйн үйл ажиллагаа эрхлэх боломжийг </w:t>
      </w:r>
      <w:r w:rsidR="0090729D" w:rsidRPr="00C77FF5">
        <w:rPr>
          <w:rFonts w:ascii="Times New Roman" w:hAnsi="Times New Roman" w:cs="Times New Roman"/>
          <w:sz w:val="24"/>
          <w:szCs w:val="24"/>
          <w:lang w:val="mn-MN"/>
        </w:rPr>
        <w:t xml:space="preserve">хязгаарласан </w:t>
      </w:r>
      <w:r w:rsidRPr="00C77FF5">
        <w:rPr>
          <w:rFonts w:ascii="Times New Roman" w:hAnsi="Times New Roman" w:cs="Times New Roman"/>
          <w:sz w:val="24"/>
          <w:szCs w:val="24"/>
          <w:lang w:val="mn-MN"/>
        </w:rPr>
        <w:t>шинжтэй байх тул “</w:t>
      </w:r>
      <w:r w:rsidRPr="00C77FF5">
        <w:rPr>
          <w:rFonts w:ascii="Times New Roman" w:hAnsi="Times New Roman" w:cs="Times New Roman"/>
          <w:i/>
          <w:sz w:val="24"/>
          <w:szCs w:val="24"/>
          <w:lang w:val="mn-MN"/>
        </w:rPr>
        <w:t>аж ахуйн үйл ажиллагааны орлогыг дүрэмд зааснаас бусад зорилгоор ашиглах</w:t>
      </w:r>
      <w:r w:rsidRPr="00C77FF5">
        <w:rPr>
          <w:rFonts w:ascii="Times New Roman" w:hAnsi="Times New Roman" w:cs="Times New Roman"/>
          <w:sz w:val="24"/>
          <w:szCs w:val="24"/>
          <w:lang w:val="mn-MN"/>
        </w:rPr>
        <w:t xml:space="preserve">” гэж өөрчлөх нь зүйтэй.  </w:t>
      </w:r>
    </w:p>
    <w:p w:rsidR="00E13AD6" w:rsidRPr="00C77FF5" w:rsidRDefault="00E13AD6" w:rsidP="00E13AD6">
      <w:pPr>
        <w:pStyle w:val="ListParagraph"/>
        <w:spacing w:before="240"/>
        <w:rPr>
          <w:rFonts w:ascii="Times New Roman" w:hAnsi="Times New Roman" w:cs="Times New Roman"/>
          <w:sz w:val="24"/>
          <w:szCs w:val="24"/>
          <w:lang w:val="mn-MN"/>
        </w:rPr>
      </w:pPr>
    </w:p>
    <w:p w:rsidR="00E13AD6" w:rsidRPr="00C77FF5" w:rsidRDefault="002563D1" w:rsidP="00EC03FA">
      <w:pPr>
        <w:pStyle w:val="ListParagraph"/>
        <w:numPr>
          <w:ilvl w:val="0"/>
          <w:numId w:val="1"/>
        </w:numPr>
        <w:spacing w:before="240" w:after="0"/>
        <w:rPr>
          <w:rFonts w:ascii="Times New Roman" w:hAnsi="Times New Roman" w:cs="Times New Roman"/>
          <w:sz w:val="24"/>
          <w:szCs w:val="24"/>
          <w:lang w:val="mn-MN"/>
        </w:rPr>
      </w:pPr>
      <w:r w:rsidRPr="00C77FF5">
        <w:rPr>
          <w:rFonts w:ascii="Times New Roman" w:hAnsi="Times New Roman" w:cs="Times New Roman"/>
          <w:sz w:val="24"/>
          <w:szCs w:val="24"/>
          <w:lang w:val="mn-MN"/>
        </w:rPr>
        <w:t>“</w:t>
      </w:r>
      <w:r w:rsidRPr="00C77FF5">
        <w:rPr>
          <w:rFonts w:ascii="Times New Roman" w:hAnsi="Times New Roman" w:cs="Times New Roman"/>
          <w:i/>
          <w:sz w:val="24"/>
          <w:szCs w:val="24"/>
          <w:lang w:val="mn-MN"/>
        </w:rPr>
        <w:t>Ашиг хуваарилах</w:t>
      </w:r>
      <w:r w:rsidRPr="00C77FF5">
        <w:rPr>
          <w:rFonts w:ascii="Times New Roman" w:hAnsi="Times New Roman" w:cs="Times New Roman"/>
          <w:sz w:val="24"/>
          <w:szCs w:val="24"/>
          <w:lang w:val="mn-MN"/>
        </w:rPr>
        <w:t>” гэсэн ойлголтыг “</w:t>
      </w:r>
      <w:r w:rsidR="008B15F6" w:rsidRPr="00C77FF5">
        <w:rPr>
          <w:rFonts w:ascii="Times New Roman" w:hAnsi="Times New Roman" w:cs="Times New Roman"/>
          <w:i/>
          <w:sz w:val="24"/>
          <w:szCs w:val="24"/>
          <w:lang w:val="mn-MN"/>
        </w:rPr>
        <w:t xml:space="preserve">орлогоос </w:t>
      </w:r>
      <w:r w:rsidRPr="00C77FF5">
        <w:rPr>
          <w:rFonts w:ascii="Times New Roman" w:hAnsi="Times New Roman" w:cs="Times New Roman"/>
          <w:i/>
          <w:sz w:val="24"/>
          <w:szCs w:val="24"/>
          <w:lang w:val="mn-MN"/>
        </w:rPr>
        <w:t>аливаа хэлбэр</w:t>
      </w:r>
      <w:r w:rsidR="008B15F6" w:rsidRPr="00C77FF5">
        <w:rPr>
          <w:rFonts w:ascii="Times New Roman" w:hAnsi="Times New Roman" w:cs="Times New Roman"/>
          <w:i/>
          <w:sz w:val="24"/>
          <w:szCs w:val="24"/>
          <w:lang w:val="mn-MN"/>
        </w:rPr>
        <w:t>ээр хуваарилах</w:t>
      </w:r>
      <w:r w:rsidR="008B15F6" w:rsidRPr="00C77FF5">
        <w:rPr>
          <w:rFonts w:ascii="Times New Roman" w:hAnsi="Times New Roman" w:cs="Times New Roman"/>
          <w:sz w:val="24"/>
          <w:szCs w:val="24"/>
          <w:lang w:val="mn-MN"/>
        </w:rPr>
        <w:t xml:space="preserve">” </w:t>
      </w:r>
      <w:r w:rsidR="0090729D" w:rsidRPr="00C77FF5">
        <w:rPr>
          <w:rFonts w:ascii="Times New Roman" w:hAnsi="Times New Roman" w:cs="Times New Roman"/>
          <w:sz w:val="24"/>
          <w:szCs w:val="24"/>
          <w:lang w:val="mn-MN"/>
        </w:rPr>
        <w:t xml:space="preserve">хэмээн </w:t>
      </w:r>
      <w:r w:rsidRPr="00C77FF5">
        <w:rPr>
          <w:rFonts w:ascii="Times New Roman" w:hAnsi="Times New Roman" w:cs="Times New Roman"/>
          <w:sz w:val="24"/>
          <w:szCs w:val="24"/>
          <w:lang w:val="mn-MN"/>
        </w:rPr>
        <w:t xml:space="preserve">хэт ерөнхий байдлаар </w:t>
      </w:r>
      <w:r w:rsidR="0090729D" w:rsidRPr="00C77FF5">
        <w:rPr>
          <w:rFonts w:ascii="Times New Roman" w:hAnsi="Times New Roman" w:cs="Times New Roman"/>
          <w:sz w:val="24"/>
          <w:szCs w:val="24"/>
          <w:lang w:val="mn-MN"/>
        </w:rPr>
        <w:t xml:space="preserve">томьёолсон </w:t>
      </w:r>
      <w:r w:rsidR="008B15F6" w:rsidRPr="00C77FF5">
        <w:rPr>
          <w:rFonts w:ascii="Times New Roman" w:hAnsi="Times New Roman" w:cs="Times New Roman"/>
          <w:sz w:val="24"/>
          <w:szCs w:val="24"/>
          <w:lang w:val="mn-MN"/>
        </w:rPr>
        <w:t xml:space="preserve">нь хууль хэрэглэгч өөрийн үзэмжээр </w:t>
      </w:r>
      <w:r w:rsidR="0090729D" w:rsidRPr="00C77FF5">
        <w:rPr>
          <w:rFonts w:ascii="Times New Roman" w:hAnsi="Times New Roman" w:cs="Times New Roman"/>
          <w:sz w:val="24"/>
          <w:szCs w:val="24"/>
          <w:lang w:val="mn-MN"/>
        </w:rPr>
        <w:t xml:space="preserve">тайлбарлан </w:t>
      </w:r>
      <w:r w:rsidR="001729EC" w:rsidRPr="00C77FF5">
        <w:rPr>
          <w:rFonts w:ascii="Times New Roman" w:hAnsi="Times New Roman" w:cs="Times New Roman"/>
          <w:sz w:val="24"/>
          <w:szCs w:val="24"/>
          <w:lang w:val="mn-MN"/>
        </w:rPr>
        <w:t>АТБХЭ-ийг</w:t>
      </w:r>
      <w:r w:rsidR="008B15F6" w:rsidRPr="00C77FF5">
        <w:rPr>
          <w:rFonts w:ascii="Times New Roman" w:hAnsi="Times New Roman" w:cs="Times New Roman"/>
          <w:sz w:val="24"/>
          <w:szCs w:val="24"/>
          <w:lang w:val="mn-MN"/>
        </w:rPr>
        <w:t xml:space="preserve"> татан буулгах үндэслэл болго</w:t>
      </w:r>
      <w:r w:rsidR="0090729D" w:rsidRPr="00C77FF5">
        <w:rPr>
          <w:rFonts w:ascii="Times New Roman" w:hAnsi="Times New Roman" w:cs="Times New Roman"/>
          <w:sz w:val="24"/>
          <w:szCs w:val="24"/>
          <w:lang w:val="mn-MN"/>
        </w:rPr>
        <w:t xml:space="preserve">н </w:t>
      </w:r>
      <w:r w:rsidR="001729EC" w:rsidRPr="00C77FF5">
        <w:rPr>
          <w:rFonts w:ascii="Times New Roman" w:hAnsi="Times New Roman" w:cs="Times New Roman"/>
          <w:sz w:val="24"/>
          <w:szCs w:val="24"/>
          <w:lang w:val="mn-MN"/>
        </w:rPr>
        <w:t xml:space="preserve">ашиглах боломжийг бүрдүүлжээ. </w:t>
      </w:r>
      <w:r w:rsidR="008B15F6" w:rsidRPr="00C77FF5">
        <w:rPr>
          <w:rFonts w:ascii="Times New Roman" w:hAnsi="Times New Roman" w:cs="Times New Roman"/>
          <w:sz w:val="24"/>
          <w:szCs w:val="24"/>
          <w:lang w:val="mn-MN"/>
        </w:rPr>
        <w:t>Тэрчлэн хуулийн төслийн 11.6-д “</w:t>
      </w:r>
      <w:r w:rsidR="008B15F6" w:rsidRPr="00C77FF5">
        <w:rPr>
          <w:rFonts w:ascii="Times New Roman" w:hAnsi="Times New Roman" w:cs="Times New Roman"/>
          <w:i/>
          <w:sz w:val="24"/>
          <w:szCs w:val="24"/>
          <w:lang w:val="mn-MN"/>
        </w:rPr>
        <w:t>гэрээгээр ажиллагсад</w:t>
      </w:r>
      <w:r w:rsidR="008B15F6" w:rsidRPr="00C77FF5">
        <w:rPr>
          <w:rFonts w:ascii="Times New Roman" w:hAnsi="Times New Roman" w:cs="Times New Roman"/>
          <w:sz w:val="24"/>
          <w:szCs w:val="24"/>
          <w:lang w:val="mn-MN"/>
        </w:rPr>
        <w:t>”</w:t>
      </w:r>
      <w:r w:rsidR="0090729D" w:rsidRPr="00C77FF5">
        <w:rPr>
          <w:rFonts w:ascii="Times New Roman" w:hAnsi="Times New Roman" w:cs="Times New Roman"/>
          <w:sz w:val="24"/>
          <w:szCs w:val="24"/>
          <w:lang w:val="mn-MN"/>
        </w:rPr>
        <w:t>-д орлогоос шууд болон шууд</w:t>
      </w:r>
      <w:r w:rsidR="008B15F6" w:rsidRPr="00C77FF5">
        <w:rPr>
          <w:rFonts w:ascii="Times New Roman" w:hAnsi="Times New Roman" w:cs="Times New Roman"/>
          <w:sz w:val="24"/>
          <w:szCs w:val="24"/>
          <w:lang w:val="mn-MN"/>
        </w:rPr>
        <w:t xml:space="preserve"> бус хэлбэрээр хуваарилахыг хориглосон </w:t>
      </w:r>
      <w:r w:rsidR="0090729D" w:rsidRPr="00C77FF5">
        <w:rPr>
          <w:rFonts w:ascii="Times New Roman" w:hAnsi="Times New Roman" w:cs="Times New Roman"/>
          <w:sz w:val="24"/>
          <w:szCs w:val="24"/>
          <w:lang w:val="mn-MN"/>
        </w:rPr>
        <w:t xml:space="preserve">нь </w:t>
      </w:r>
      <w:r w:rsidR="008B15F6" w:rsidRPr="00C77FF5">
        <w:rPr>
          <w:rFonts w:ascii="Times New Roman" w:hAnsi="Times New Roman" w:cs="Times New Roman"/>
          <w:sz w:val="24"/>
          <w:szCs w:val="24"/>
          <w:lang w:val="mn-MN"/>
        </w:rPr>
        <w:t>дүрмийн зорилгын хүрээнд ажил, үйлчил</w:t>
      </w:r>
      <w:r w:rsidR="0090729D" w:rsidRPr="00C77FF5">
        <w:rPr>
          <w:rFonts w:ascii="Times New Roman" w:hAnsi="Times New Roman" w:cs="Times New Roman"/>
          <w:sz w:val="24"/>
          <w:szCs w:val="24"/>
          <w:lang w:val="mn-MN"/>
        </w:rPr>
        <w:t>гээ</w:t>
      </w:r>
      <w:r w:rsidR="008B15F6" w:rsidRPr="00C77FF5">
        <w:rPr>
          <w:rFonts w:ascii="Times New Roman" w:hAnsi="Times New Roman" w:cs="Times New Roman"/>
          <w:sz w:val="24"/>
          <w:szCs w:val="24"/>
          <w:lang w:val="mn-MN"/>
        </w:rPr>
        <w:t xml:space="preserve"> гэрээгээр гүйцэтгүүлэх</w:t>
      </w:r>
      <w:r w:rsidR="00CA2357" w:rsidRPr="00C77FF5">
        <w:rPr>
          <w:rFonts w:ascii="Times New Roman" w:hAnsi="Times New Roman" w:cs="Times New Roman"/>
          <w:sz w:val="24"/>
          <w:szCs w:val="24"/>
          <w:lang w:val="mn-MN"/>
        </w:rPr>
        <w:t>, ийнхүү гэрээгээр ажиллагсдад хөдөлмөрийн хөлс  олгох</w:t>
      </w:r>
      <w:r w:rsidR="001729EC" w:rsidRPr="00C77FF5">
        <w:rPr>
          <w:rFonts w:ascii="Times New Roman" w:hAnsi="Times New Roman" w:cs="Times New Roman"/>
          <w:sz w:val="24"/>
          <w:szCs w:val="24"/>
          <w:lang w:val="mn-MN"/>
        </w:rPr>
        <w:t xml:space="preserve"> боломжийг</w:t>
      </w:r>
      <w:r w:rsidR="0090729D" w:rsidRPr="00C77FF5">
        <w:rPr>
          <w:rFonts w:ascii="Times New Roman" w:hAnsi="Times New Roman" w:cs="Times New Roman"/>
          <w:sz w:val="24"/>
          <w:szCs w:val="24"/>
          <w:lang w:val="mn-MN"/>
        </w:rPr>
        <w:t xml:space="preserve"> </w:t>
      </w:r>
      <w:r w:rsidR="008B15F6" w:rsidRPr="00C77FF5">
        <w:rPr>
          <w:rFonts w:ascii="Times New Roman" w:hAnsi="Times New Roman" w:cs="Times New Roman"/>
          <w:sz w:val="24"/>
          <w:szCs w:val="24"/>
          <w:lang w:val="mn-MN"/>
        </w:rPr>
        <w:t>хязгаарлах үр дагавар</w:t>
      </w:r>
      <w:r w:rsidR="0090729D" w:rsidRPr="00C77FF5">
        <w:rPr>
          <w:rFonts w:ascii="Times New Roman" w:hAnsi="Times New Roman" w:cs="Times New Roman"/>
          <w:sz w:val="24"/>
          <w:szCs w:val="24"/>
          <w:lang w:val="mn-MN"/>
        </w:rPr>
        <w:t xml:space="preserve"> үүсгэхээр </w:t>
      </w:r>
      <w:r w:rsidR="00E13AD6" w:rsidRPr="00C77FF5">
        <w:rPr>
          <w:rFonts w:ascii="Times New Roman" w:hAnsi="Times New Roman" w:cs="Times New Roman"/>
          <w:sz w:val="24"/>
          <w:szCs w:val="24"/>
          <w:lang w:val="mn-MN"/>
        </w:rPr>
        <w:t>байна.</w:t>
      </w:r>
      <w:r w:rsidR="00D2160D">
        <w:rPr>
          <w:rFonts w:ascii="Times New Roman" w:hAnsi="Times New Roman" w:cs="Times New Roman"/>
          <w:sz w:val="24"/>
          <w:szCs w:val="24"/>
          <w:lang w:val="mn-MN"/>
        </w:rPr>
        <w:t xml:space="preserve"> </w:t>
      </w:r>
    </w:p>
    <w:p w:rsidR="00E13AD6" w:rsidRPr="00C77FF5" w:rsidRDefault="00E13AD6" w:rsidP="00E13AD6">
      <w:pPr>
        <w:pStyle w:val="ListParagraph"/>
        <w:spacing w:before="240"/>
        <w:rPr>
          <w:rFonts w:ascii="Times New Roman" w:hAnsi="Times New Roman" w:cs="Times New Roman"/>
          <w:sz w:val="24"/>
          <w:szCs w:val="24"/>
          <w:lang w:val="mn-MN"/>
        </w:rPr>
      </w:pPr>
    </w:p>
    <w:p w:rsidR="00E13AD6" w:rsidRPr="00D2160D" w:rsidRDefault="00E4269D" w:rsidP="00E13AD6">
      <w:pPr>
        <w:pStyle w:val="ListParagraph"/>
        <w:numPr>
          <w:ilvl w:val="0"/>
          <w:numId w:val="1"/>
        </w:numPr>
        <w:spacing w:before="240"/>
        <w:rPr>
          <w:rFonts w:ascii="Times New Roman" w:hAnsi="Times New Roman" w:cs="Times New Roman"/>
          <w:color w:val="FF0000"/>
          <w:sz w:val="24"/>
          <w:szCs w:val="24"/>
          <w:lang w:val="mn-MN"/>
        </w:rPr>
      </w:pPr>
      <w:r w:rsidRPr="00C77FF5">
        <w:rPr>
          <w:rFonts w:ascii="Times New Roman" w:hAnsi="Times New Roman" w:cs="Times New Roman"/>
          <w:sz w:val="24"/>
          <w:szCs w:val="24"/>
          <w:lang w:val="mn-MN"/>
        </w:rPr>
        <w:t>Хуулийн төслийн 14.2-т заасан “</w:t>
      </w:r>
      <w:r w:rsidRPr="00C77FF5">
        <w:rPr>
          <w:rFonts w:ascii="Times New Roman" w:hAnsi="Times New Roman" w:cs="Times New Roman"/>
          <w:i/>
          <w:sz w:val="24"/>
          <w:szCs w:val="24"/>
          <w:lang w:val="mn-MN"/>
        </w:rPr>
        <w:t>үндэсний эв нэгдлийг бусниулах, экстремист үйл ажиллагаа</w:t>
      </w:r>
      <w:r w:rsidRPr="00C77FF5">
        <w:rPr>
          <w:rFonts w:ascii="Times New Roman" w:hAnsi="Times New Roman" w:cs="Times New Roman"/>
          <w:sz w:val="24"/>
          <w:szCs w:val="24"/>
          <w:lang w:val="mn-MN"/>
        </w:rPr>
        <w:t>” гэснийг хэн, хэрхэн тайлбарлаж, хэрэглэх нь тодорхойгүй  бөгөөд Үндсэн хууль, хүчин төгөлдөр мөрдөгдөж  байгаа  бусад хуульд заагаагүй  нэмэлт хязгаарлалт тогтоосон шинжтэй байна. Энэ зүйлд заасан “</w:t>
      </w:r>
      <w:r w:rsidR="00235ED1" w:rsidRPr="00C77FF5">
        <w:rPr>
          <w:rFonts w:ascii="Times New Roman" w:hAnsi="Times New Roman" w:cs="Times New Roman"/>
          <w:sz w:val="24"/>
          <w:szCs w:val="24"/>
          <w:lang w:val="mn-MN"/>
        </w:rPr>
        <w:t xml:space="preserve">сэжигтэй, </w:t>
      </w:r>
      <w:r w:rsidRPr="00C77FF5">
        <w:rPr>
          <w:rFonts w:ascii="Times New Roman" w:hAnsi="Times New Roman" w:cs="Times New Roman"/>
          <w:sz w:val="24"/>
          <w:szCs w:val="24"/>
          <w:lang w:val="mn-MN"/>
        </w:rPr>
        <w:t>эх үүсвэр нь тодорхойгүй санхүүгийн гүйлгээ</w:t>
      </w:r>
      <w:r w:rsidR="001729EC" w:rsidRPr="00C77FF5">
        <w:rPr>
          <w:rFonts w:ascii="Times New Roman" w:hAnsi="Times New Roman" w:cs="Times New Roman"/>
          <w:sz w:val="24"/>
          <w:szCs w:val="24"/>
          <w:lang w:val="mn-MN"/>
        </w:rPr>
        <w:t>”-</w:t>
      </w:r>
      <w:r w:rsidRPr="00C77FF5">
        <w:rPr>
          <w:rFonts w:ascii="Times New Roman" w:hAnsi="Times New Roman" w:cs="Times New Roman"/>
          <w:sz w:val="24"/>
          <w:szCs w:val="24"/>
          <w:lang w:val="mn-MN"/>
        </w:rPr>
        <w:t>нд тавих хяналтыг Мөнгө угаах, терроризмыг санхүүжүүлэхтэй тэмцэх тухай хуулийн хүрээнд</w:t>
      </w:r>
      <w:r w:rsidR="00235ED1" w:rsidRPr="00C77FF5">
        <w:rPr>
          <w:rFonts w:ascii="Times New Roman" w:hAnsi="Times New Roman" w:cs="Times New Roman"/>
          <w:sz w:val="24"/>
          <w:szCs w:val="24"/>
          <w:lang w:val="mn-MN"/>
        </w:rPr>
        <w:t xml:space="preserve"> М</w:t>
      </w:r>
      <w:r w:rsidRPr="00C77FF5">
        <w:rPr>
          <w:rFonts w:ascii="Times New Roman" w:hAnsi="Times New Roman" w:cs="Times New Roman"/>
          <w:sz w:val="24"/>
          <w:szCs w:val="24"/>
          <w:lang w:val="mn-MN"/>
        </w:rPr>
        <w:t xml:space="preserve">онгол банк </w:t>
      </w:r>
      <w:r w:rsidR="0090729D" w:rsidRPr="00C77FF5">
        <w:rPr>
          <w:rFonts w:ascii="Times New Roman" w:hAnsi="Times New Roman" w:cs="Times New Roman"/>
          <w:sz w:val="24"/>
          <w:szCs w:val="24"/>
          <w:lang w:val="mn-MN"/>
        </w:rPr>
        <w:t xml:space="preserve">нэгэнт </w:t>
      </w:r>
      <w:r w:rsidRPr="00C77FF5">
        <w:rPr>
          <w:rFonts w:ascii="Times New Roman" w:hAnsi="Times New Roman" w:cs="Times New Roman"/>
          <w:sz w:val="24"/>
          <w:szCs w:val="24"/>
          <w:lang w:val="mn-MN"/>
        </w:rPr>
        <w:t xml:space="preserve">хэрэгжүүлж буй тул давхардуулан хуульчлах шаардлагагүй </w:t>
      </w:r>
      <w:r w:rsidR="00235ED1" w:rsidRPr="00C77FF5">
        <w:rPr>
          <w:rFonts w:ascii="Times New Roman" w:hAnsi="Times New Roman" w:cs="Times New Roman"/>
          <w:sz w:val="24"/>
          <w:szCs w:val="24"/>
          <w:lang w:val="mn-MN"/>
        </w:rPr>
        <w:t>буюу хуулийн төслөөс хасах нь зүйтэй байна</w:t>
      </w:r>
      <w:r w:rsidR="00235ED1" w:rsidRPr="00D2160D">
        <w:rPr>
          <w:rFonts w:ascii="Times New Roman" w:hAnsi="Times New Roman" w:cs="Times New Roman"/>
          <w:color w:val="FF0000"/>
          <w:sz w:val="24"/>
          <w:szCs w:val="24"/>
          <w:lang w:val="mn-MN"/>
        </w:rPr>
        <w:t xml:space="preserve">. </w:t>
      </w:r>
      <w:r w:rsidRPr="00D2160D">
        <w:rPr>
          <w:rFonts w:ascii="Times New Roman" w:hAnsi="Times New Roman" w:cs="Times New Roman"/>
          <w:color w:val="FF0000"/>
          <w:sz w:val="24"/>
          <w:szCs w:val="24"/>
          <w:lang w:val="mn-MN"/>
        </w:rPr>
        <w:t xml:space="preserve"> </w:t>
      </w:r>
      <w:r w:rsidR="00D2160D" w:rsidRPr="00D2160D">
        <w:rPr>
          <w:rFonts w:ascii="Times New Roman" w:hAnsi="Times New Roman" w:cs="Times New Roman"/>
          <w:color w:val="FF0000"/>
          <w:sz w:val="24"/>
          <w:szCs w:val="24"/>
          <w:lang w:val="mn-MN"/>
        </w:rPr>
        <w:t xml:space="preserve"> </w:t>
      </w:r>
    </w:p>
    <w:p w:rsidR="00E13AD6" w:rsidRPr="00C77FF5" w:rsidRDefault="00E13AD6" w:rsidP="00E13AD6">
      <w:pPr>
        <w:pStyle w:val="ListParagraph"/>
        <w:spacing w:before="240"/>
        <w:rPr>
          <w:rFonts w:ascii="Times New Roman" w:hAnsi="Times New Roman" w:cs="Times New Roman"/>
          <w:sz w:val="24"/>
          <w:szCs w:val="24"/>
          <w:lang w:val="mn-MN"/>
        </w:rPr>
      </w:pPr>
    </w:p>
    <w:p w:rsidR="009B36FA" w:rsidRPr="00C77FF5" w:rsidRDefault="009B36FA" w:rsidP="00E13AD6">
      <w:pPr>
        <w:pStyle w:val="ListParagraph"/>
        <w:numPr>
          <w:ilvl w:val="0"/>
          <w:numId w:val="1"/>
        </w:numPr>
        <w:spacing w:before="240"/>
        <w:rPr>
          <w:rFonts w:ascii="Times New Roman" w:hAnsi="Times New Roman" w:cs="Times New Roman"/>
          <w:sz w:val="24"/>
          <w:szCs w:val="24"/>
          <w:lang w:val="mn-MN"/>
        </w:rPr>
      </w:pPr>
      <w:r w:rsidRPr="00C77FF5">
        <w:rPr>
          <w:rFonts w:ascii="Times New Roman" w:hAnsi="Times New Roman" w:cs="Times New Roman"/>
          <w:sz w:val="24"/>
          <w:szCs w:val="24"/>
          <w:lang w:val="mn-MN"/>
        </w:rPr>
        <w:t>Иргэний нийгмийг дэмжих зөв</w:t>
      </w:r>
      <w:r w:rsidR="0090729D" w:rsidRPr="00C77FF5">
        <w:rPr>
          <w:rFonts w:ascii="Times New Roman" w:hAnsi="Times New Roman" w:cs="Times New Roman"/>
          <w:sz w:val="24"/>
          <w:szCs w:val="24"/>
          <w:lang w:val="mn-MN"/>
        </w:rPr>
        <w:t>лөлийг байгуулах  нь зүйтэй</w:t>
      </w:r>
      <w:r w:rsidRPr="00C77FF5">
        <w:rPr>
          <w:rFonts w:ascii="Times New Roman" w:hAnsi="Times New Roman" w:cs="Times New Roman"/>
          <w:sz w:val="24"/>
          <w:szCs w:val="24"/>
          <w:lang w:val="mn-MN"/>
        </w:rPr>
        <w:t xml:space="preserve"> боловч </w:t>
      </w:r>
      <w:r w:rsidR="0090729D" w:rsidRPr="00C77FF5">
        <w:rPr>
          <w:rFonts w:ascii="Times New Roman" w:hAnsi="Times New Roman" w:cs="Times New Roman"/>
          <w:sz w:val="24"/>
          <w:szCs w:val="24"/>
          <w:lang w:val="mn-MN"/>
        </w:rPr>
        <w:t>түүний  бие даасан, хараат бус байдал, үйл ажиллагааны ил тод, үр нөлөөтэй</w:t>
      </w:r>
      <w:r w:rsidR="001729EC" w:rsidRPr="00C77FF5">
        <w:rPr>
          <w:rFonts w:ascii="Times New Roman" w:hAnsi="Times New Roman" w:cs="Times New Roman"/>
          <w:sz w:val="24"/>
          <w:szCs w:val="24"/>
          <w:lang w:val="mn-MN"/>
        </w:rPr>
        <w:t>, хариуцлагатай</w:t>
      </w:r>
      <w:r w:rsidR="0090729D" w:rsidRPr="00C77FF5">
        <w:rPr>
          <w:rFonts w:ascii="Times New Roman" w:hAnsi="Times New Roman" w:cs="Times New Roman"/>
          <w:sz w:val="24"/>
          <w:szCs w:val="24"/>
          <w:lang w:val="mn-MN"/>
        </w:rPr>
        <w:t xml:space="preserve"> байдлыг хангахад дараахь зүйлсийг анхаарах шаардлагатай байна. </w:t>
      </w:r>
      <w:r w:rsidRPr="00C77FF5">
        <w:rPr>
          <w:rFonts w:ascii="Times New Roman" w:hAnsi="Times New Roman" w:cs="Times New Roman"/>
          <w:sz w:val="24"/>
          <w:szCs w:val="24"/>
          <w:lang w:val="mn-MN"/>
        </w:rPr>
        <w:t>Үүнд</w:t>
      </w:r>
      <w:r w:rsidR="001729EC" w:rsidRPr="00C77FF5">
        <w:rPr>
          <w:rFonts w:ascii="Times New Roman" w:hAnsi="Times New Roman" w:cs="Times New Roman"/>
          <w:sz w:val="24"/>
          <w:szCs w:val="24"/>
          <w:lang w:val="mn-MN"/>
        </w:rPr>
        <w:t>:</w:t>
      </w:r>
    </w:p>
    <w:p w:rsidR="009B36FA" w:rsidRPr="00C77FF5" w:rsidRDefault="009B36FA" w:rsidP="00E13AD6">
      <w:pPr>
        <w:pStyle w:val="ListParagraph"/>
        <w:numPr>
          <w:ilvl w:val="1"/>
          <w:numId w:val="1"/>
        </w:numPr>
        <w:spacing w:before="240"/>
        <w:rPr>
          <w:rFonts w:ascii="Times New Roman" w:hAnsi="Times New Roman" w:cs="Times New Roman"/>
          <w:sz w:val="24"/>
          <w:szCs w:val="24"/>
          <w:lang w:val="mn-MN"/>
        </w:rPr>
      </w:pPr>
      <w:r w:rsidRPr="00C77FF5">
        <w:rPr>
          <w:rFonts w:ascii="Times New Roman" w:hAnsi="Times New Roman" w:cs="Times New Roman"/>
          <w:sz w:val="24"/>
          <w:szCs w:val="24"/>
          <w:lang w:val="mn-MN"/>
        </w:rPr>
        <w:t>Зөвлөлийн</w:t>
      </w:r>
      <w:r w:rsidR="00553960" w:rsidRPr="00C77FF5">
        <w:rPr>
          <w:rFonts w:ascii="Times New Roman" w:hAnsi="Times New Roman" w:cs="Times New Roman"/>
          <w:sz w:val="24"/>
          <w:szCs w:val="24"/>
          <w:lang w:val="mn-MN"/>
        </w:rPr>
        <w:t xml:space="preserve"> гишүүнд тавигдах шаардлага тодорхойгүй, олонхийг төрийн  байгууллагаас</w:t>
      </w:r>
      <w:r w:rsidRPr="00C77FF5">
        <w:rPr>
          <w:rFonts w:ascii="Times New Roman" w:hAnsi="Times New Roman" w:cs="Times New Roman"/>
          <w:sz w:val="24"/>
          <w:szCs w:val="24"/>
          <w:lang w:val="mn-MN"/>
        </w:rPr>
        <w:t xml:space="preserve"> бүрдүүлэх</w:t>
      </w:r>
      <w:r w:rsidR="00553960" w:rsidRPr="00C77FF5">
        <w:rPr>
          <w:rFonts w:ascii="Times New Roman" w:hAnsi="Times New Roman" w:cs="Times New Roman"/>
          <w:sz w:val="24"/>
          <w:szCs w:val="24"/>
          <w:lang w:val="mn-MN"/>
        </w:rPr>
        <w:t xml:space="preserve">, даргыг нь Ерөнхий сайд </w:t>
      </w:r>
      <w:r w:rsidR="001729EC" w:rsidRPr="00C77FF5">
        <w:rPr>
          <w:rFonts w:ascii="Times New Roman" w:hAnsi="Times New Roman" w:cs="Times New Roman"/>
          <w:sz w:val="24"/>
          <w:szCs w:val="24"/>
          <w:lang w:val="mn-MN"/>
        </w:rPr>
        <w:t xml:space="preserve">томилохоор </w:t>
      </w:r>
      <w:r w:rsidR="0090729D" w:rsidRPr="00C77FF5">
        <w:rPr>
          <w:rFonts w:ascii="Times New Roman" w:hAnsi="Times New Roman" w:cs="Times New Roman"/>
          <w:sz w:val="24"/>
          <w:szCs w:val="24"/>
          <w:lang w:val="mn-MN"/>
        </w:rPr>
        <w:t xml:space="preserve">байгаа нь уг зөвлөл бие дааж, хараат бусаар ажиллах баталгааг </w:t>
      </w:r>
      <w:r w:rsidR="00E13AD6" w:rsidRPr="00C77FF5">
        <w:rPr>
          <w:rFonts w:ascii="Times New Roman" w:hAnsi="Times New Roman" w:cs="Times New Roman"/>
          <w:sz w:val="24"/>
          <w:szCs w:val="24"/>
          <w:lang w:val="mn-MN"/>
        </w:rPr>
        <w:t>хангахгүй байна.</w:t>
      </w:r>
      <w:r w:rsidR="00D2160D">
        <w:rPr>
          <w:rFonts w:ascii="Times New Roman" w:hAnsi="Times New Roman" w:cs="Times New Roman"/>
          <w:sz w:val="24"/>
          <w:szCs w:val="24"/>
          <w:lang w:val="mn-MN"/>
        </w:rPr>
        <w:t xml:space="preserve"> </w:t>
      </w:r>
    </w:p>
    <w:p w:rsidR="00E13AD6" w:rsidRPr="00C77FF5" w:rsidRDefault="00E13AD6" w:rsidP="00E13AD6">
      <w:pPr>
        <w:pStyle w:val="ListParagraph"/>
        <w:spacing w:before="240"/>
        <w:ind w:left="1440"/>
        <w:rPr>
          <w:rFonts w:ascii="Times New Roman" w:hAnsi="Times New Roman" w:cs="Times New Roman"/>
          <w:sz w:val="24"/>
          <w:szCs w:val="24"/>
          <w:lang w:val="mn-MN"/>
        </w:rPr>
      </w:pPr>
    </w:p>
    <w:p w:rsidR="00E13AD6" w:rsidRPr="00C77FF5" w:rsidRDefault="00954BBA" w:rsidP="00D2160D">
      <w:pPr>
        <w:pStyle w:val="ListParagraph"/>
        <w:numPr>
          <w:ilvl w:val="1"/>
          <w:numId w:val="1"/>
        </w:numPr>
        <w:rPr>
          <w:rFonts w:ascii="Times New Roman" w:hAnsi="Times New Roman" w:cs="Times New Roman"/>
          <w:sz w:val="24"/>
          <w:szCs w:val="24"/>
          <w:lang w:val="mn-MN"/>
        </w:rPr>
      </w:pPr>
      <w:r w:rsidRPr="00C77FF5">
        <w:rPr>
          <w:rFonts w:ascii="Times New Roman" w:hAnsi="Times New Roman" w:cs="Times New Roman"/>
          <w:sz w:val="24"/>
          <w:szCs w:val="24"/>
          <w:lang w:val="mn-MN"/>
        </w:rPr>
        <w:t xml:space="preserve">ТББ-ууд </w:t>
      </w:r>
      <w:r w:rsidR="0090729D" w:rsidRPr="00C77FF5">
        <w:rPr>
          <w:rFonts w:ascii="Times New Roman" w:hAnsi="Times New Roman" w:cs="Times New Roman"/>
          <w:sz w:val="24"/>
          <w:szCs w:val="24"/>
          <w:lang w:val="mn-MN"/>
        </w:rPr>
        <w:t xml:space="preserve">уг зөвлөлд </w:t>
      </w:r>
      <w:r w:rsidRPr="00C77FF5">
        <w:rPr>
          <w:rFonts w:ascii="Times New Roman" w:hAnsi="Times New Roman" w:cs="Times New Roman"/>
          <w:sz w:val="24"/>
          <w:szCs w:val="24"/>
          <w:lang w:val="mn-MN"/>
        </w:rPr>
        <w:t xml:space="preserve">ямар зарчмаар нэр дэвшүүлж, </w:t>
      </w:r>
      <w:r w:rsidR="0090729D" w:rsidRPr="00C77FF5">
        <w:rPr>
          <w:rFonts w:ascii="Times New Roman" w:hAnsi="Times New Roman" w:cs="Times New Roman"/>
          <w:sz w:val="24"/>
          <w:szCs w:val="24"/>
          <w:lang w:val="mn-MN"/>
        </w:rPr>
        <w:t xml:space="preserve">төлөөллөө </w:t>
      </w:r>
      <w:r w:rsidRPr="00C77FF5">
        <w:rPr>
          <w:rFonts w:ascii="Times New Roman" w:hAnsi="Times New Roman" w:cs="Times New Roman"/>
          <w:sz w:val="24"/>
          <w:szCs w:val="24"/>
          <w:lang w:val="mn-MN"/>
        </w:rPr>
        <w:t>сонгохыг тодорхойлоогүй тул одоо байгаа бусад зөвлөл, хороо шиг нэр төдий иргэний нийгмийн төлөөлөл</w:t>
      </w:r>
      <w:r w:rsidR="0090729D" w:rsidRPr="00C77FF5">
        <w:rPr>
          <w:rFonts w:ascii="Times New Roman" w:hAnsi="Times New Roman" w:cs="Times New Roman"/>
          <w:sz w:val="24"/>
          <w:szCs w:val="24"/>
          <w:lang w:val="mn-MN"/>
        </w:rPr>
        <w:t xml:space="preserve"> орох боломжийг нээж өгсөн байна.</w:t>
      </w:r>
      <w:r w:rsidR="00D2160D" w:rsidRPr="00D2160D">
        <w:rPr>
          <w:rFonts w:ascii="Times New Roman" w:hAnsi="Times New Roman" w:cs="Times New Roman"/>
          <w:color w:val="FF0000"/>
          <w:sz w:val="24"/>
          <w:szCs w:val="24"/>
          <w:lang w:val="mn-MN"/>
        </w:rPr>
        <w:t xml:space="preserve"> </w:t>
      </w:r>
    </w:p>
    <w:p w:rsidR="00E13AD6" w:rsidRPr="00C77FF5" w:rsidRDefault="00E13AD6" w:rsidP="00E13AD6">
      <w:pPr>
        <w:pStyle w:val="ListParagraph"/>
        <w:spacing w:before="240"/>
        <w:ind w:left="1440"/>
        <w:rPr>
          <w:rFonts w:ascii="Times New Roman" w:hAnsi="Times New Roman" w:cs="Times New Roman"/>
          <w:sz w:val="24"/>
          <w:szCs w:val="24"/>
          <w:lang w:val="mn-MN"/>
        </w:rPr>
      </w:pPr>
    </w:p>
    <w:p w:rsidR="00E13AD6" w:rsidRPr="00C77FF5" w:rsidRDefault="00954BBA" w:rsidP="00E13AD6">
      <w:pPr>
        <w:pStyle w:val="ListParagraph"/>
        <w:numPr>
          <w:ilvl w:val="1"/>
          <w:numId w:val="1"/>
        </w:numPr>
        <w:spacing w:before="240"/>
        <w:rPr>
          <w:rFonts w:ascii="Times New Roman" w:hAnsi="Times New Roman" w:cs="Times New Roman"/>
          <w:sz w:val="24"/>
          <w:szCs w:val="24"/>
          <w:lang w:val="mn-MN"/>
        </w:rPr>
      </w:pPr>
      <w:r w:rsidRPr="00C77FF5">
        <w:rPr>
          <w:rFonts w:ascii="Times New Roman" w:hAnsi="Times New Roman" w:cs="Times New Roman"/>
          <w:sz w:val="24"/>
          <w:szCs w:val="24"/>
          <w:lang w:val="mn-MN"/>
        </w:rPr>
        <w:t>Зөвлөлийн</w:t>
      </w:r>
      <w:r w:rsidR="00553960" w:rsidRPr="00C77FF5">
        <w:rPr>
          <w:rFonts w:ascii="Times New Roman" w:hAnsi="Times New Roman" w:cs="Times New Roman"/>
          <w:sz w:val="24"/>
          <w:szCs w:val="24"/>
          <w:lang w:val="mn-MN"/>
        </w:rPr>
        <w:t xml:space="preserve"> үүрэг, хариуцлага, </w:t>
      </w:r>
      <w:r w:rsidRPr="00C77FF5">
        <w:rPr>
          <w:rFonts w:ascii="Times New Roman" w:hAnsi="Times New Roman" w:cs="Times New Roman"/>
          <w:sz w:val="24"/>
          <w:szCs w:val="24"/>
          <w:lang w:val="mn-MN"/>
        </w:rPr>
        <w:t>үйл ажиллагаа</w:t>
      </w:r>
      <w:r w:rsidR="0090729D" w:rsidRPr="00C77FF5">
        <w:rPr>
          <w:rFonts w:ascii="Times New Roman" w:hAnsi="Times New Roman" w:cs="Times New Roman"/>
          <w:sz w:val="24"/>
          <w:szCs w:val="24"/>
          <w:lang w:val="mn-MN"/>
        </w:rPr>
        <w:t>г илүү тодорхой хуульчлах</w:t>
      </w:r>
    </w:p>
    <w:p w:rsidR="00E13AD6" w:rsidRPr="00C77FF5" w:rsidRDefault="00E13AD6" w:rsidP="00E13AD6">
      <w:pPr>
        <w:pStyle w:val="ListParagraph"/>
        <w:spacing w:before="240"/>
        <w:ind w:left="1440"/>
        <w:rPr>
          <w:rFonts w:ascii="Times New Roman" w:hAnsi="Times New Roman" w:cs="Times New Roman"/>
          <w:sz w:val="24"/>
          <w:szCs w:val="24"/>
          <w:lang w:val="mn-MN"/>
        </w:rPr>
      </w:pPr>
    </w:p>
    <w:p w:rsidR="00AE6E63" w:rsidRPr="00C77FF5" w:rsidRDefault="00AE6E63" w:rsidP="00D2160D">
      <w:pPr>
        <w:pStyle w:val="ListParagraph"/>
        <w:numPr>
          <w:ilvl w:val="1"/>
          <w:numId w:val="1"/>
        </w:numPr>
        <w:spacing w:before="240"/>
        <w:rPr>
          <w:rFonts w:ascii="Times New Roman" w:hAnsi="Times New Roman" w:cs="Times New Roman"/>
          <w:sz w:val="24"/>
          <w:szCs w:val="24"/>
          <w:lang w:val="mn-MN"/>
        </w:rPr>
      </w:pPr>
      <w:r w:rsidRPr="00C77FF5">
        <w:rPr>
          <w:rFonts w:ascii="Times New Roman" w:hAnsi="Times New Roman" w:cs="Times New Roman"/>
          <w:sz w:val="24"/>
          <w:szCs w:val="24"/>
          <w:lang w:val="mn-MN"/>
        </w:rPr>
        <w:t xml:space="preserve">Зөвлөлд нэр дэвшүүлэх эрх бүхий АТБХЭ-ийн үйл ажиллагааны чиглэл нь </w:t>
      </w:r>
      <w:r w:rsidR="001729EC" w:rsidRPr="00C77FF5">
        <w:rPr>
          <w:rFonts w:ascii="Times New Roman" w:hAnsi="Times New Roman" w:cs="Times New Roman"/>
          <w:sz w:val="24"/>
          <w:szCs w:val="24"/>
          <w:lang w:val="mn-MN"/>
        </w:rPr>
        <w:t xml:space="preserve">хэт </w:t>
      </w:r>
      <w:r w:rsidRPr="00C77FF5">
        <w:rPr>
          <w:rFonts w:ascii="Times New Roman" w:hAnsi="Times New Roman" w:cs="Times New Roman"/>
          <w:sz w:val="24"/>
          <w:szCs w:val="24"/>
          <w:lang w:val="mn-MN"/>
        </w:rPr>
        <w:t>явцуу буюу ардчилал, сайн засаглалын чиглэлээр үйл ажиллагаа явуулдаг ба</w:t>
      </w:r>
      <w:r w:rsidR="0090729D" w:rsidRPr="00C77FF5">
        <w:rPr>
          <w:rFonts w:ascii="Times New Roman" w:hAnsi="Times New Roman" w:cs="Times New Roman"/>
          <w:sz w:val="24"/>
          <w:szCs w:val="24"/>
          <w:lang w:val="mn-MN"/>
        </w:rPr>
        <w:t xml:space="preserve">йгууллагуудыг оруулаагүй байна. </w:t>
      </w:r>
      <w:r w:rsidRPr="00C77FF5">
        <w:rPr>
          <w:rFonts w:ascii="Times New Roman" w:hAnsi="Times New Roman" w:cs="Times New Roman"/>
          <w:sz w:val="24"/>
          <w:szCs w:val="24"/>
          <w:lang w:val="mn-MN"/>
        </w:rPr>
        <w:t xml:space="preserve"> </w:t>
      </w:r>
    </w:p>
    <w:p w:rsidR="00E13AD6" w:rsidRPr="00C77FF5" w:rsidRDefault="00E13AD6" w:rsidP="00E13AD6">
      <w:pPr>
        <w:pStyle w:val="ListParagraph"/>
        <w:rPr>
          <w:rFonts w:ascii="Times New Roman" w:hAnsi="Times New Roman" w:cs="Times New Roman"/>
          <w:sz w:val="24"/>
          <w:szCs w:val="24"/>
          <w:lang w:val="mn-MN"/>
        </w:rPr>
      </w:pPr>
    </w:p>
    <w:p w:rsidR="00E13AD6" w:rsidRPr="00C77FF5" w:rsidRDefault="00E13AD6" w:rsidP="00E13AD6">
      <w:pPr>
        <w:pStyle w:val="ListParagraph"/>
        <w:spacing w:before="240"/>
        <w:ind w:left="1440"/>
        <w:rPr>
          <w:rFonts w:ascii="Times New Roman" w:hAnsi="Times New Roman" w:cs="Times New Roman"/>
          <w:sz w:val="24"/>
          <w:szCs w:val="24"/>
          <w:lang w:val="mn-MN"/>
        </w:rPr>
      </w:pPr>
    </w:p>
    <w:p w:rsidR="00AE6E63" w:rsidRPr="00C77FF5" w:rsidRDefault="00AE6E63" w:rsidP="00E13AD6">
      <w:pPr>
        <w:pStyle w:val="ListParagraph"/>
        <w:numPr>
          <w:ilvl w:val="0"/>
          <w:numId w:val="1"/>
        </w:numPr>
        <w:spacing w:before="240"/>
        <w:rPr>
          <w:rFonts w:ascii="Times New Roman" w:hAnsi="Times New Roman" w:cs="Times New Roman"/>
          <w:sz w:val="24"/>
          <w:szCs w:val="24"/>
          <w:lang w:val="mn-MN"/>
        </w:rPr>
      </w:pPr>
      <w:r w:rsidRPr="00C77FF5">
        <w:rPr>
          <w:rFonts w:ascii="Times New Roman" w:hAnsi="Times New Roman" w:cs="Times New Roman"/>
          <w:sz w:val="24"/>
          <w:szCs w:val="24"/>
          <w:lang w:val="mn-MN"/>
        </w:rPr>
        <w:lastRenderedPageBreak/>
        <w:t>“</w:t>
      </w:r>
      <w:r w:rsidRPr="00C77FF5">
        <w:rPr>
          <w:rFonts w:ascii="Times New Roman" w:hAnsi="Times New Roman" w:cs="Times New Roman"/>
          <w:i/>
          <w:sz w:val="24"/>
          <w:szCs w:val="24"/>
          <w:lang w:val="mn-MN"/>
        </w:rPr>
        <w:t>Иргэний нийгмийн хөгжлийг дэмжих сан</w:t>
      </w:r>
      <w:r w:rsidRPr="00C77FF5">
        <w:rPr>
          <w:rFonts w:ascii="Times New Roman" w:hAnsi="Times New Roman" w:cs="Times New Roman"/>
          <w:sz w:val="24"/>
          <w:szCs w:val="24"/>
          <w:lang w:val="mn-MN"/>
        </w:rPr>
        <w:t>”</w:t>
      </w:r>
      <w:r w:rsidR="0090729D" w:rsidRPr="00C77FF5">
        <w:rPr>
          <w:rFonts w:ascii="Times New Roman" w:hAnsi="Times New Roman" w:cs="Times New Roman"/>
          <w:sz w:val="24"/>
          <w:szCs w:val="24"/>
          <w:lang w:val="mn-MN"/>
        </w:rPr>
        <w:t xml:space="preserve">-ийн </w:t>
      </w:r>
      <w:r w:rsidRPr="00C77FF5">
        <w:rPr>
          <w:rFonts w:ascii="Times New Roman" w:hAnsi="Times New Roman" w:cs="Times New Roman"/>
          <w:sz w:val="24"/>
          <w:szCs w:val="24"/>
          <w:lang w:val="mn-MN"/>
        </w:rPr>
        <w:t xml:space="preserve">статус нь тодорхойгүй төдийгүй улсын болон орон нутгийн төсвөөс санхүүжихээр </w:t>
      </w:r>
      <w:r w:rsidR="0090729D" w:rsidRPr="00C77FF5">
        <w:rPr>
          <w:rFonts w:ascii="Times New Roman" w:hAnsi="Times New Roman" w:cs="Times New Roman"/>
          <w:sz w:val="24"/>
          <w:szCs w:val="24"/>
          <w:lang w:val="mn-MN"/>
        </w:rPr>
        <w:t xml:space="preserve">тусгасан </w:t>
      </w:r>
      <w:r w:rsidRPr="00C77FF5">
        <w:rPr>
          <w:rFonts w:ascii="Times New Roman" w:hAnsi="Times New Roman" w:cs="Times New Roman"/>
          <w:sz w:val="24"/>
          <w:szCs w:val="24"/>
          <w:lang w:val="mn-MN"/>
        </w:rPr>
        <w:t xml:space="preserve">атал дагаж гарах хуулийн өөрчлөлтөд Засгийн газрын тусгай сангийн тухай хуульд нэмэлт өөрчлөлт оруулах санал тусгагдаагүй байна.  </w:t>
      </w:r>
    </w:p>
    <w:p w:rsidR="00E13AD6" w:rsidRPr="00C77FF5" w:rsidRDefault="00E13AD6" w:rsidP="00E13AD6">
      <w:pPr>
        <w:pStyle w:val="ListParagraph"/>
        <w:spacing w:before="240"/>
        <w:rPr>
          <w:rFonts w:ascii="Times New Roman" w:hAnsi="Times New Roman" w:cs="Times New Roman"/>
          <w:sz w:val="24"/>
          <w:szCs w:val="24"/>
          <w:lang w:val="mn-MN"/>
        </w:rPr>
      </w:pPr>
    </w:p>
    <w:p w:rsidR="00E13AD6" w:rsidRPr="00C77FF5" w:rsidRDefault="00CA2357" w:rsidP="00E13AD6">
      <w:pPr>
        <w:pStyle w:val="ListParagraph"/>
        <w:numPr>
          <w:ilvl w:val="0"/>
          <w:numId w:val="1"/>
        </w:numPr>
        <w:spacing w:before="240"/>
        <w:rPr>
          <w:rFonts w:ascii="Times New Roman" w:hAnsi="Times New Roman" w:cs="Times New Roman"/>
          <w:sz w:val="24"/>
          <w:szCs w:val="24"/>
          <w:lang w:val="mn-MN"/>
        </w:rPr>
      </w:pPr>
      <w:r w:rsidRPr="00C77FF5">
        <w:rPr>
          <w:rFonts w:ascii="Times New Roman" w:hAnsi="Times New Roman" w:cs="Times New Roman"/>
          <w:sz w:val="24"/>
          <w:szCs w:val="24"/>
          <w:lang w:val="mn-MN"/>
        </w:rPr>
        <w:t>Нийтэд тустай үйл ажиллагааны жагсаалт</w:t>
      </w:r>
      <w:r w:rsidR="0090729D" w:rsidRPr="00C77FF5">
        <w:rPr>
          <w:rFonts w:ascii="Times New Roman" w:hAnsi="Times New Roman" w:cs="Times New Roman"/>
          <w:sz w:val="24"/>
          <w:szCs w:val="24"/>
          <w:lang w:val="mn-MN"/>
        </w:rPr>
        <w:t>ын</w:t>
      </w:r>
      <w:r w:rsidRPr="00C77FF5">
        <w:rPr>
          <w:rFonts w:ascii="Times New Roman" w:hAnsi="Times New Roman" w:cs="Times New Roman"/>
          <w:sz w:val="24"/>
          <w:szCs w:val="24"/>
          <w:lang w:val="mn-MN"/>
        </w:rPr>
        <w:t xml:space="preserve"> эрэмбэ дараалал нь оновчгүй төдийгүй нийтэд тустай үйл ажиллагааны бүх чиглэлийг  бүрэн тусгаагүй, агуулга дутуу байна. Тухайлбал, нийгмийн шударга ёс, сайн засаглалын чиглэлээр</w:t>
      </w:r>
      <w:r w:rsidR="001729EC" w:rsidRPr="00C77FF5">
        <w:rPr>
          <w:rFonts w:ascii="Times New Roman" w:hAnsi="Times New Roman" w:cs="Times New Roman"/>
          <w:sz w:val="24"/>
          <w:szCs w:val="24"/>
          <w:lang w:val="mn-MN"/>
        </w:rPr>
        <w:t xml:space="preserve"> явуулж </w:t>
      </w:r>
      <w:r w:rsidRPr="00C77FF5">
        <w:rPr>
          <w:rFonts w:ascii="Times New Roman" w:hAnsi="Times New Roman" w:cs="Times New Roman"/>
          <w:sz w:val="24"/>
          <w:szCs w:val="24"/>
          <w:lang w:val="mn-MN"/>
        </w:rPr>
        <w:t xml:space="preserve">буй үйл ажиллагааг орхигдуулсан байна. </w:t>
      </w:r>
      <w:r w:rsidR="00D2160D">
        <w:rPr>
          <w:rFonts w:ascii="Times New Roman" w:hAnsi="Times New Roman" w:cs="Times New Roman"/>
          <w:sz w:val="24"/>
          <w:szCs w:val="24"/>
          <w:lang w:val="mn-MN"/>
        </w:rPr>
        <w:t xml:space="preserve"> </w:t>
      </w:r>
    </w:p>
    <w:p w:rsidR="00E13AD6" w:rsidRPr="00C77FF5" w:rsidRDefault="00E13AD6" w:rsidP="00E13AD6">
      <w:pPr>
        <w:pStyle w:val="ListParagraph"/>
        <w:rPr>
          <w:rFonts w:ascii="Times New Roman" w:hAnsi="Times New Roman" w:cs="Times New Roman"/>
          <w:sz w:val="24"/>
          <w:szCs w:val="24"/>
          <w:lang w:val="mn-MN"/>
        </w:rPr>
      </w:pPr>
    </w:p>
    <w:p w:rsidR="00E13AD6" w:rsidRPr="00C77FF5" w:rsidRDefault="00CA2357" w:rsidP="00E13AD6">
      <w:pPr>
        <w:pStyle w:val="ListParagraph"/>
        <w:numPr>
          <w:ilvl w:val="0"/>
          <w:numId w:val="1"/>
        </w:numPr>
        <w:spacing w:before="240"/>
        <w:rPr>
          <w:rFonts w:ascii="Times New Roman" w:hAnsi="Times New Roman" w:cs="Times New Roman"/>
          <w:sz w:val="24"/>
          <w:szCs w:val="24"/>
          <w:lang w:val="mn-MN"/>
        </w:rPr>
      </w:pPr>
      <w:r w:rsidRPr="00C77FF5">
        <w:rPr>
          <w:rFonts w:ascii="Times New Roman" w:hAnsi="Times New Roman" w:cs="Times New Roman"/>
          <w:sz w:val="24"/>
          <w:szCs w:val="24"/>
          <w:lang w:val="mn-MN"/>
        </w:rPr>
        <w:t>Иргэний нийгмийн дэмжих зөвлөл нь АТБХЭ-ийн тайланг ямар шалгуураар, хэрхэн үнэлж</w:t>
      </w:r>
      <w:r w:rsidR="0090729D" w:rsidRPr="00C77FF5">
        <w:rPr>
          <w:rFonts w:ascii="Times New Roman" w:hAnsi="Times New Roman" w:cs="Times New Roman"/>
          <w:sz w:val="24"/>
          <w:szCs w:val="24"/>
          <w:lang w:val="mn-MN"/>
        </w:rPr>
        <w:t>,</w:t>
      </w:r>
      <w:r w:rsidRPr="00C77FF5">
        <w:rPr>
          <w:rFonts w:ascii="Times New Roman" w:hAnsi="Times New Roman" w:cs="Times New Roman"/>
          <w:sz w:val="24"/>
          <w:szCs w:val="24"/>
          <w:lang w:val="mn-MN"/>
        </w:rPr>
        <w:t xml:space="preserve"> дүгнэлт гаргах нь тодорхойгүй байна. </w:t>
      </w:r>
      <w:r w:rsidR="0090729D" w:rsidRPr="00C77FF5">
        <w:rPr>
          <w:rFonts w:ascii="Times New Roman" w:hAnsi="Times New Roman" w:cs="Times New Roman"/>
          <w:sz w:val="24"/>
          <w:szCs w:val="24"/>
          <w:lang w:val="mn-MN"/>
        </w:rPr>
        <w:t>Н</w:t>
      </w:r>
      <w:r w:rsidRPr="00C77FF5">
        <w:rPr>
          <w:rFonts w:ascii="Times New Roman" w:hAnsi="Times New Roman" w:cs="Times New Roman"/>
          <w:sz w:val="24"/>
          <w:szCs w:val="24"/>
          <w:lang w:val="mn-MN"/>
        </w:rPr>
        <w:t>ийтэд тустай үйл ажиллагааны баталгаа олгох журмыг Засгийн газар батлахаар заасан байх боловч ил тод байдал, шударга</w:t>
      </w:r>
      <w:r w:rsidR="0090729D" w:rsidRPr="00C77FF5">
        <w:rPr>
          <w:rFonts w:ascii="Times New Roman" w:hAnsi="Times New Roman" w:cs="Times New Roman"/>
          <w:sz w:val="24"/>
          <w:szCs w:val="24"/>
          <w:lang w:val="mn-MN"/>
        </w:rPr>
        <w:t xml:space="preserve"> ёс</w:t>
      </w:r>
      <w:r w:rsidR="001729EC" w:rsidRPr="00C77FF5">
        <w:rPr>
          <w:rFonts w:ascii="Times New Roman" w:hAnsi="Times New Roman" w:cs="Times New Roman"/>
          <w:sz w:val="24"/>
          <w:szCs w:val="24"/>
          <w:lang w:val="mn-MN"/>
        </w:rPr>
        <w:t xml:space="preserve">, хараат бус байдлыг хангахтай холбоотой </w:t>
      </w:r>
      <w:r w:rsidRPr="00C77FF5">
        <w:rPr>
          <w:rFonts w:ascii="Times New Roman" w:hAnsi="Times New Roman" w:cs="Times New Roman"/>
          <w:sz w:val="24"/>
          <w:szCs w:val="24"/>
          <w:lang w:val="mn-MN"/>
        </w:rPr>
        <w:t>үндсэн шалгуур</w:t>
      </w:r>
      <w:r w:rsidR="0090729D" w:rsidRPr="00C77FF5">
        <w:rPr>
          <w:rFonts w:ascii="Times New Roman" w:hAnsi="Times New Roman" w:cs="Times New Roman"/>
          <w:sz w:val="24"/>
          <w:szCs w:val="24"/>
          <w:lang w:val="mn-MN"/>
        </w:rPr>
        <w:t>ууд</w:t>
      </w:r>
      <w:r w:rsidRPr="00C77FF5">
        <w:rPr>
          <w:rFonts w:ascii="Times New Roman" w:hAnsi="Times New Roman" w:cs="Times New Roman"/>
          <w:sz w:val="24"/>
          <w:szCs w:val="24"/>
          <w:lang w:val="mn-MN"/>
        </w:rPr>
        <w:t>ыг хуули</w:t>
      </w:r>
      <w:r w:rsidR="001729EC" w:rsidRPr="00C77FF5">
        <w:rPr>
          <w:rFonts w:ascii="Times New Roman" w:hAnsi="Times New Roman" w:cs="Times New Roman"/>
          <w:sz w:val="24"/>
          <w:szCs w:val="24"/>
          <w:lang w:val="mn-MN"/>
        </w:rPr>
        <w:t xml:space="preserve">ар тодорхойлох нь чухал юм. </w:t>
      </w:r>
      <w:r w:rsidRPr="00C77FF5">
        <w:rPr>
          <w:rFonts w:ascii="Times New Roman" w:hAnsi="Times New Roman" w:cs="Times New Roman"/>
          <w:sz w:val="24"/>
          <w:szCs w:val="24"/>
          <w:lang w:val="mn-MN"/>
        </w:rPr>
        <w:t xml:space="preserve"> </w:t>
      </w:r>
    </w:p>
    <w:p w:rsidR="00E13AD6" w:rsidRPr="00C77FF5" w:rsidRDefault="00E13AD6" w:rsidP="00E13AD6">
      <w:pPr>
        <w:pStyle w:val="ListParagraph"/>
        <w:rPr>
          <w:rFonts w:ascii="Times New Roman" w:hAnsi="Times New Roman" w:cs="Times New Roman"/>
          <w:sz w:val="24"/>
          <w:szCs w:val="24"/>
          <w:lang w:val="mn-MN"/>
        </w:rPr>
      </w:pPr>
    </w:p>
    <w:p w:rsidR="00E13AD6" w:rsidRPr="00C77FF5" w:rsidRDefault="00723EDA" w:rsidP="00E13AD6">
      <w:pPr>
        <w:pStyle w:val="ListParagraph"/>
        <w:numPr>
          <w:ilvl w:val="0"/>
          <w:numId w:val="1"/>
        </w:numPr>
        <w:spacing w:before="240"/>
        <w:rPr>
          <w:rFonts w:ascii="Times New Roman" w:hAnsi="Times New Roman" w:cs="Times New Roman"/>
          <w:sz w:val="24"/>
          <w:szCs w:val="24"/>
          <w:lang w:val="mn-MN"/>
        </w:rPr>
      </w:pPr>
      <w:r w:rsidRPr="00C77FF5">
        <w:rPr>
          <w:rFonts w:ascii="Times New Roman" w:hAnsi="Times New Roman" w:cs="Times New Roman"/>
          <w:sz w:val="24"/>
          <w:szCs w:val="24"/>
          <w:lang w:val="mn-MN"/>
        </w:rPr>
        <w:t>АТБХЭ-ийг татан буулгах үндэслэл буюу хуулийн төслийн 17.1.5-д заасан “</w:t>
      </w:r>
      <w:r w:rsidRPr="00C77FF5">
        <w:rPr>
          <w:rFonts w:ascii="Times New Roman" w:hAnsi="Times New Roman" w:cs="Times New Roman"/>
          <w:i/>
          <w:sz w:val="24"/>
          <w:szCs w:val="24"/>
          <w:lang w:val="mn-MN"/>
        </w:rPr>
        <w:t>хуульд заасан бусад</w:t>
      </w:r>
      <w:r w:rsidRPr="00C77FF5">
        <w:rPr>
          <w:rFonts w:ascii="Times New Roman" w:hAnsi="Times New Roman" w:cs="Times New Roman"/>
          <w:sz w:val="24"/>
          <w:szCs w:val="24"/>
          <w:lang w:val="mn-MN"/>
        </w:rPr>
        <w:t>” гэснийг хасах.  Ер нь “</w:t>
      </w:r>
      <w:r w:rsidRPr="00C77FF5">
        <w:rPr>
          <w:rFonts w:ascii="Times New Roman" w:hAnsi="Times New Roman" w:cs="Times New Roman"/>
          <w:i/>
          <w:sz w:val="24"/>
          <w:szCs w:val="24"/>
          <w:lang w:val="mn-MN"/>
        </w:rPr>
        <w:t>хуульд заасны дагуу</w:t>
      </w:r>
      <w:r w:rsidR="0090729D" w:rsidRPr="00C77FF5">
        <w:rPr>
          <w:rFonts w:ascii="Times New Roman" w:hAnsi="Times New Roman" w:cs="Times New Roman"/>
          <w:sz w:val="24"/>
          <w:szCs w:val="24"/>
          <w:lang w:val="mn-MN"/>
        </w:rPr>
        <w:t>”, “</w:t>
      </w:r>
      <w:r w:rsidR="0090729D" w:rsidRPr="00C77FF5">
        <w:rPr>
          <w:rFonts w:ascii="Times New Roman" w:hAnsi="Times New Roman" w:cs="Times New Roman"/>
          <w:i/>
          <w:sz w:val="24"/>
          <w:szCs w:val="24"/>
          <w:lang w:val="mn-MN"/>
        </w:rPr>
        <w:t>хуулиар хүлээсэн үүргээ биелүүлээгүй бол</w:t>
      </w:r>
      <w:r w:rsidR="0090729D" w:rsidRPr="00C77FF5">
        <w:rPr>
          <w:rFonts w:ascii="Times New Roman" w:hAnsi="Times New Roman" w:cs="Times New Roman"/>
          <w:sz w:val="24"/>
          <w:szCs w:val="24"/>
          <w:lang w:val="mn-MN"/>
        </w:rPr>
        <w:t xml:space="preserve">” </w:t>
      </w:r>
      <w:r w:rsidRPr="00C77FF5">
        <w:rPr>
          <w:rFonts w:ascii="Times New Roman" w:hAnsi="Times New Roman" w:cs="Times New Roman"/>
          <w:sz w:val="24"/>
          <w:szCs w:val="24"/>
          <w:lang w:val="mn-MN"/>
        </w:rPr>
        <w:t>гэсэн заалт нилээд орсон нь үндэслэлгүй цензур тогтоох эрсдэл</w:t>
      </w:r>
      <w:r w:rsidR="0090729D" w:rsidRPr="00C77FF5">
        <w:rPr>
          <w:rFonts w:ascii="Times New Roman" w:hAnsi="Times New Roman" w:cs="Times New Roman"/>
          <w:sz w:val="24"/>
          <w:szCs w:val="24"/>
          <w:lang w:val="mn-MN"/>
        </w:rPr>
        <w:t xml:space="preserve">тэй </w:t>
      </w:r>
      <w:r w:rsidRPr="00C77FF5">
        <w:rPr>
          <w:rFonts w:ascii="Times New Roman" w:hAnsi="Times New Roman" w:cs="Times New Roman"/>
          <w:sz w:val="24"/>
          <w:szCs w:val="24"/>
          <w:lang w:val="mn-MN"/>
        </w:rPr>
        <w:t xml:space="preserve">байгааг анхаарч, холбогдох хуулийн зүйл заалтыг тодорхой дурдах, </w:t>
      </w:r>
      <w:r w:rsidR="0090729D" w:rsidRPr="00C77FF5">
        <w:rPr>
          <w:rFonts w:ascii="Times New Roman" w:hAnsi="Times New Roman" w:cs="Times New Roman"/>
          <w:sz w:val="24"/>
          <w:szCs w:val="24"/>
          <w:lang w:val="mn-MN"/>
        </w:rPr>
        <w:t xml:space="preserve">хэрэв </w:t>
      </w:r>
      <w:r w:rsidRPr="00C77FF5">
        <w:rPr>
          <w:rFonts w:ascii="Times New Roman" w:hAnsi="Times New Roman" w:cs="Times New Roman"/>
          <w:sz w:val="24"/>
          <w:szCs w:val="24"/>
          <w:lang w:val="mn-MN"/>
        </w:rPr>
        <w:t>тийм зохицуулалт байхгүй бол хуулийн төслөөс хасах нь зүйтэй.</w:t>
      </w:r>
      <w:r w:rsidRPr="007D4A3F">
        <w:rPr>
          <w:rFonts w:ascii="Times New Roman" w:hAnsi="Times New Roman" w:cs="Times New Roman"/>
          <w:color w:val="FF0000"/>
          <w:sz w:val="24"/>
          <w:szCs w:val="24"/>
          <w:lang w:val="mn-MN"/>
        </w:rPr>
        <w:t xml:space="preserve"> </w:t>
      </w:r>
      <w:r w:rsidR="00CA2357" w:rsidRPr="007D4A3F">
        <w:rPr>
          <w:rFonts w:ascii="Times New Roman" w:hAnsi="Times New Roman" w:cs="Times New Roman"/>
          <w:color w:val="FF0000"/>
          <w:sz w:val="24"/>
          <w:szCs w:val="24"/>
          <w:lang w:val="mn-MN"/>
        </w:rPr>
        <w:t xml:space="preserve"> </w:t>
      </w:r>
      <w:bookmarkStart w:id="0" w:name="_GoBack"/>
      <w:bookmarkEnd w:id="0"/>
    </w:p>
    <w:p w:rsidR="00E13AD6" w:rsidRPr="00C77FF5" w:rsidRDefault="00E13AD6" w:rsidP="00E13AD6">
      <w:pPr>
        <w:pStyle w:val="ListParagraph"/>
        <w:rPr>
          <w:rFonts w:ascii="Times New Roman" w:hAnsi="Times New Roman" w:cs="Times New Roman"/>
          <w:sz w:val="24"/>
          <w:szCs w:val="24"/>
          <w:lang w:val="mn-MN"/>
        </w:rPr>
      </w:pPr>
    </w:p>
    <w:p w:rsidR="007E1266" w:rsidRPr="00C77FF5" w:rsidRDefault="0090729D" w:rsidP="00E13AD6">
      <w:pPr>
        <w:pStyle w:val="ListParagraph"/>
        <w:numPr>
          <w:ilvl w:val="0"/>
          <w:numId w:val="1"/>
        </w:numPr>
        <w:spacing w:before="240"/>
        <w:rPr>
          <w:rFonts w:ascii="Times New Roman" w:hAnsi="Times New Roman" w:cs="Times New Roman"/>
          <w:sz w:val="24"/>
          <w:szCs w:val="24"/>
          <w:lang w:val="mn-MN"/>
        </w:rPr>
      </w:pPr>
      <w:r w:rsidRPr="00C77FF5">
        <w:rPr>
          <w:rFonts w:ascii="Times New Roman" w:hAnsi="Times New Roman" w:cs="Times New Roman"/>
          <w:sz w:val="24"/>
          <w:szCs w:val="24"/>
          <w:lang w:val="mn-MN"/>
        </w:rPr>
        <w:t xml:space="preserve">АТБХЭ, тэр дундаа нийтэд тустай үйл ажиллагаа эрхэлдэг байгууллагуудын үйл ажиллагаа болон санхүүгийн ил тод байдлыг сайжруулах </w:t>
      </w:r>
      <w:r w:rsidR="00046CFB" w:rsidRPr="00C77FF5">
        <w:rPr>
          <w:rFonts w:ascii="Times New Roman" w:hAnsi="Times New Roman" w:cs="Times New Roman"/>
          <w:sz w:val="24"/>
          <w:szCs w:val="24"/>
          <w:lang w:val="mn-MN"/>
        </w:rPr>
        <w:t xml:space="preserve">саналыг </w:t>
      </w:r>
      <w:r w:rsidRPr="00C77FF5">
        <w:rPr>
          <w:rFonts w:ascii="Times New Roman" w:hAnsi="Times New Roman" w:cs="Times New Roman"/>
          <w:sz w:val="24"/>
          <w:szCs w:val="24"/>
          <w:lang w:val="mn-MN"/>
        </w:rPr>
        <w:t>дэмжиж байгаа боловч ийнхүү тайлагнах үйл явц нь аль болох хялбар, олон шатлал</w:t>
      </w:r>
      <w:r w:rsidR="00046CFB" w:rsidRPr="00C77FF5">
        <w:rPr>
          <w:rFonts w:ascii="Times New Roman" w:hAnsi="Times New Roman" w:cs="Times New Roman"/>
          <w:sz w:val="24"/>
          <w:szCs w:val="24"/>
          <w:lang w:val="mn-MN"/>
        </w:rPr>
        <w:t>гүй</w:t>
      </w:r>
      <w:r w:rsidRPr="00C77FF5">
        <w:rPr>
          <w:rFonts w:ascii="Times New Roman" w:hAnsi="Times New Roman" w:cs="Times New Roman"/>
          <w:sz w:val="24"/>
          <w:szCs w:val="24"/>
          <w:lang w:val="mn-MN"/>
        </w:rPr>
        <w:t>, зайлшгүй бус шаардлага тогтоогоогүй  байх ёстой. Гэтэл жил бүр үйл ажиллагааны болон санхүүгийн тайлангаа Иргэний нийгмийн зөвлөлд ирүүлэх үүргийг хүлээлгэсэн төдийгүй татварын хууль тогтоомжийн дагуу санхүүгийн тайланг улирал тутам гаргах зохицуулалт байсаар байхад “</w:t>
      </w:r>
      <w:r w:rsidRPr="00C77FF5">
        <w:rPr>
          <w:rFonts w:ascii="Times New Roman" w:hAnsi="Times New Roman" w:cs="Times New Roman"/>
          <w:i/>
          <w:sz w:val="24"/>
          <w:szCs w:val="24"/>
          <w:lang w:val="mn-MN"/>
        </w:rPr>
        <w:t>хагас жил тутам</w:t>
      </w:r>
      <w:r w:rsidRPr="00C77FF5">
        <w:rPr>
          <w:rFonts w:ascii="Times New Roman" w:hAnsi="Times New Roman" w:cs="Times New Roman"/>
          <w:sz w:val="24"/>
          <w:szCs w:val="24"/>
          <w:lang w:val="mn-MN"/>
        </w:rPr>
        <w:t xml:space="preserve">” тайлан гаргах үүргийг давхар оногдуулсан нь шаардлагагүй нэмэлт ачаалал үүсгэхээр байна. </w:t>
      </w:r>
    </w:p>
    <w:p w:rsidR="001729EC" w:rsidRPr="00C77FF5" w:rsidRDefault="001729EC" w:rsidP="00046CFB">
      <w:pPr>
        <w:ind w:left="360"/>
        <w:rPr>
          <w:rFonts w:ascii="Times New Roman" w:hAnsi="Times New Roman" w:cs="Times New Roman"/>
          <w:sz w:val="24"/>
          <w:szCs w:val="24"/>
          <w:lang w:val="mn-MN"/>
        </w:rPr>
      </w:pPr>
    </w:p>
    <w:sectPr w:rsidR="001729EC" w:rsidRPr="00C77FF5" w:rsidSect="00AA1971">
      <w:headerReference w:type="even" r:id="rId8"/>
      <w:headerReference w:type="default" r:id="rId9"/>
      <w:footerReference w:type="even" r:id="rId10"/>
      <w:footerReference w:type="default" r:id="rId11"/>
      <w:headerReference w:type="first" r:id="rId12"/>
      <w:footerReference w:type="first" r:id="rId13"/>
      <w:pgSz w:w="12240" w:h="15840"/>
      <w:pgMar w:top="81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406" w:rsidRDefault="00A20406" w:rsidP="00397A97">
      <w:pPr>
        <w:spacing w:after="0" w:line="240" w:lineRule="auto"/>
      </w:pPr>
      <w:r>
        <w:separator/>
      </w:r>
    </w:p>
  </w:endnote>
  <w:endnote w:type="continuationSeparator" w:id="0">
    <w:p w:rsidR="00A20406" w:rsidRDefault="00A20406" w:rsidP="00397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97" w:rsidRDefault="00397A9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97" w:rsidRPr="00477F94" w:rsidRDefault="00397A97">
    <w:pPr>
      <w:pStyle w:val="Footer"/>
      <w:tabs>
        <w:tab w:val="clear" w:pos="4680"/>
        <w:tab w:val="clear" w:pos="9360"/>
      </w:tabs>
      <w:jc w:val="center"/>
      <w:rPr>
        <w:rFonts w:ascii="Times New Roman" w:hAnsi="Times New Roman" w:cs="Times New Roman"/>
        <w:caps/>
        <w:noProof/>
        <w:sz w:val="24"/>
        <w:szCs w:val="24"/>
      </w:rPr>
    </w:pPr>
    <w:r w:rsidRPr="00477F94">
      <w:rPr>
        <w:rFonts w:ascii="Times New Roman" w:hAnsi="Times New Roman" w:cs="Times New Roman"/>
        <w:caps/>
        <w:sz w:val="24"/>
        <w:szCs w:val="24"/>
      </w:rPr>
      <w:fldChar w:fldCharType="begin"/>
    </w:r>
    <w:r w:rsidRPr="00477F94">
      <w:rPr>
        <w:rFonts w:ascii="Times New Roman" w:hAnsi="Times New Roman" w:cs="Times New Roman"/>
        <w:caps/>
        <w:sz w:val="24"/>
        <w:szCs w:val="24"/>
      </w:rPr>
      <w:instrText xml:space="preserve"> PAGE   \* MERGEFORMAT </w:instrText>
    </w:r>
    <w:r w:rsidRPr="00477F94">
      <w:rPr>
        <w:rFonts w:ascii="Times New Roman" w:hAnsi="Times New Roman" w:cs="Times New Roman"/>
        <w:caps/>
        <w:sz w:val="24"/>
        <w:szCs w:val="24"/>
      </w:rPr>
      <w:fldChar w:fldCharType="separate"/>
    </w:r>
    <w:r w:rsidR="001E01CB">
      <w:rPr>
        <w:rFonts w:ascii="Times New Roman" w:hAnsi="Times New Roman" w:cs="Times New Roman"/>
        <w:caps/>
        <w:noProof/>
        <w:sz w:val="24"/>
        <w:szCs w:val="24"/>
      </w:rPr>
      <w:t>4</w:t>
    </w:r>
    <w:r w:rsidRPr="00477F94">
      <w:rPr>
        <w:rFonts w:ascii="Times New Roman" w:hAnsi="Times New Roman" w:cs="Times New Roman"/>
        <w:caps/>
        <w:noProof/>
        <w:sz w:val="24"/>
        <w:szCs w:val="24"/>
      </w:rPr>
      <w:fldChar w:fldCharType="end"/>
    </w:r>
  </w:p>
  <w:p w:rsidR="00397A97" w:rsidRDefault="00397A9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97" w:rsidRDefault="00397A9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406" w:rsidRDefault="00A20406" w:rsidP="00397A97">
      <w:pPr>
        <w:spacing w:after="0" w:line="240" w:lineRule="auto"/>
      </w:pPr>
      <w:r>
        <w:separator/>
      </w:r>
    </w:p>
  </w:footnote>
  <w:footnote w:type="continuationSeparator" w:id="0">
    <w:p w:rsidR="00A20406" w:rsidRDefault="00A20406" w:rsidP="00397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97" w:rsidRDefault="00397A9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97" w:rsidRDefault="00397A9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97" w:rsidRDefault="00397A9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0FA2"/>
    <w:multiLevelType w:val="hybridMultilevel"/>
    <w:tmpl w:val="5D724A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D40F8"/>
    <w:multiLevelType w:val="hybridMultilevel"/>
    <w:tmpl w:val="625612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66"/>
    <w:rsid w:val="00046CFB"/>
    <w:rsid w:val="00147ABB"/>
    <w:rsid w:val="001729EC"/>
    <w:rsid w:val="001E01CB"/>
    <w:rsid w:val="001E0F96"/>
    <w:rsid w:val="00235ED1"/>
    <w:rsid w:val="00243DCA"/>
    <w:rsid w:val="002563D1"/>
    <w:rsid w:val="00290EE4"/>
    <w:rsid w:val="00291BD4"/>
    <w:rsid w:val="003828AD"/>
    <w:rsid w:val="00397A97"/>
    <w:rsid w:val="003D1BB1"/>
    <w:rsid w:val="00477F94"/>
    <w:rsid w:val="004805D6"/>
    <w:rsid w:val="004819C4"/>
    <w:rsid w:val="004825E3"/>
    <w:rsid w:val="00542817"/>
    <w:rsid w:val="00553960"/>
    <w:rsid w:val="006C2182"/>
    <w:rsid w:val="00723EDA"/>
    <w:rsid w:val="007D4A3F"/>
    <w:rsid w:val="007E1266"/>
    <w:rsid w:val="007F26FD"/>
    <w:rsid w:val="007F7F02"/>
    <w:rsid w:val="008465DE"/>
    <w:rsid w:val="00874BF3"/>
    <w:rsid w:val="008B15F6"/>
    <w:rsid w:val="008B6712"/>
    <w:rsid w:val="0090729D"/>
    <w:rsid w:val="009242B4"/>
    <w:rsid w:val="00954BBA"/>
    <w:rsid w:val="009A0D5A"/>
    <w:rsid w:val="009B36FA"/>
    <w:rsid w:val="009C112B"/>
    <w:rsid w:val="00A20406"/>
    <w:rsid w:val="00AA1971"/>
    <w:rsid w:val="00AE6E63"/>
    <w:rsid w:val="00B21EAC"/>
    <w:rsid w:val="00BF2ACF"/>
    <w:rsid w:val="00C77FF5"/>
    <w:rsid w:val="00CA2357"/>
    <w:rsid w:val="00D2160D"/>
    <w:rsid w:val="00D80FBC"/>
    <w:rsid w:val="00E13AD6"/>
    <w:rsid w:val="00E4269D"/>
    <w:rsid w:val="00ED1982"/>
    <w:rsid w:val="00EF0E57"/>
    <w:rsid w:val="00F242A0"/>
    <w:rsid w:val="00F3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02E98"/>
  <w15:chartTrackingRefBased/>
  <w15:docId w15:val="{D937EF8C-69EB-415A-BA2E-5FC7B5B0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1266"/>
    <w:pPr>
      <w:ind w:left="720"/>
      <w:contextualSpacing/>
    </w:pPr>
  </w:style>
  <w:style w:type="paragraph" w:styleId="BalloonText">
    <w:name w:val="Balloon Text"/>
    <w:basedOn w:val="Normal"/>
    <w:link w:val="BalloonTextChar"/>
    <w:uiPriority w:val="99"/>
    <w:semiHidden/>
    <w:unhideWhenUsed/>
    <w:rsid w:val="004805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05D6"/>
    <w:rPr>
      <w:rFonts w:ascii="Segoe UI" w:hAnsi="Segoe UI" w:cs="Segoe UI"/>
      <w:sz w:val="18"/>
      <w:szCs w:val="18"/>
    </w:rPr>
  </w:style>
  <w:style w:type="paragraph" w:styleId="Header">
    <w:name w:val="header"/>
    <w:basedOn w:val="Normal"/>
    <w:link w:val="HeaderChar"/>
    <w:uiPriority w:val="99"/>
    <w:unhideWhenUsed/>
    <w:rsid w:val="00397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A97"/>
  </w:style>
  <w:style w:type="paragraph" w:styleId="Footer">
    <w:name w:val="footer"/>
    <w:basedOn w:val="Normal"/>
    <w:link w:val="FooterChar"/>
    <w:uiPriority w:val="99"/>
    <w:unhideWhenUsed/>
    <w:rsid w:val="00397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1431</Words>
  <Characters>8162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Khishigsaikhan Batchuluun</dc:creator>
  <cp:keywords/>
  <dc:description/>
  <cp:lastModifiedBy>Erdenechimeg Dashdorj</cp:lastModifiedBy>
  <cp:revision>3</cp:revision>
  <cp:lastPrinted>2018-11-05T03:13:00Z</cp:lastPrinted>
  <dcterms:created xsi:type="dcterms:W3CDTF">2019-11-11T09:24:00Z</dcterms:created>
  <dcterms:modified xsi:type="dcterms:W3CDTF">2019-11-11T09:24:00Z</dcterms:modified>
</cp:coreProperties>
</file>